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66F8906D"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2162AF">
        <w:rPr>
          <w:bCs/>
          <w:noProof w:val="0"/>
          <w:sz w:val="24"/>
          <w:szCs w:val="24"/>
        </w:rPr>
        <w:t>4</w:t>
      </w:r>
      <w:r w:rsidRPr="00DD23B7">
        <w:rPr>
          <w:bCs/>
          <w:noProof w:val="0"/>
          <w:sz w:val="24"/>
          <w:szCs w:val="24"/>
        </w:rPr>
        <w:t xml:space="preserve"> #</w:t>
      </w:r>
      <w:r w:rsidR="00910E28">
        <w:rPr>
          <w:bCs/>
          <w:noProof w:val="0"/>
          <w:sz w:val="24"/>
          <w:szCs w:val="24"/>
        </w:rPr>
        <w:t>1</w:t>
      </w:r>
      <w:r w:rsidR="002162AF">
        <w:rPr>
          <w:bCs/>
          <w:noProof w:val="0"/>
          <w:sz w:val="24"/>
          <w:szCs w:val="24"/>
        </w:rPr>
        <w:t>1</w:t>
      </w:r>
      <w:r w:rsidR="00AC3C0F">
        <w:rPr>
          <w:bCs/>
          <w:noProof w:val="0"/>
          <w:sz w:val="24"/>
          <w:szCs w:val="24"/>
        </w:rPr>
        <w:t>8</w:t>
      </w:r>
      <w:r w:rsidRPr="00DD23B7">
        <w:rPr>
          <w:bCs/>
          <w:noProof w:val="0"/>
          <w:sz w:val="24"/>
          <w:szCs w:val="24"/>
        </w:rPr>
        <w:tab/>
      </w:r>
      <w:r w:rsidR="00DC3333" w:rsidRPr="00DC3333">
        <w:rPr>
          <w:bCs/>
          <w:noProof w:val="0"/>
          <w:sz w:val="24"/>
          <w:szCs w:val="24"/>
        </w:rPr>
        <w:t>R4-2</w:t>
      </w:r>
      <w:r w:rsidR="00AC3C0F">
        <w:rPr>
          <w:bCs/>
          <w:noProof w:val="0"/>
          <w:sz w:val="24"/>
          <w:szCs w:val="24"/>
        </w:rPr>
        <w:t>6</w:t>
      </w:r>
      <w:r w:rsidR="00A36BE5">
        <w:rPr>
          <w:bCs/>
          <w:noProof w:val="0"/>
          <w:sz w:val="24"/>
          <w:szCs w:val="24"/>
        </w:rPr>
        <w:t>02004</w:t>
      </w:r>
    </w:p>
    <w:p w14:paraId="56901651" w14:textId="42267E27" w:rsidR="00F97B2E" w:rsidRPr="00533B4C" w:rsidRDefault="00AC3C0F" w:rsidP="00F97B2E">
      <w:pPr>
        <w:pStyle w:val="Header"/>
        <w:rPr>
          <w:bCs/>
          <w:noProof w:val="0"/>
          <w:sz w:val="24"/>
          <w:szCs w:val="24"/>
        </w:rPr>
      </w:pPr>
      <w:bookmarkStart w:id="2" w:name="_Hlk219100990"/>
      <w:bookmarkEnd w:id="0"/>
      <w:bookmarkEnd w:id="1"/>
      <w:r w:rsidRPr="00AC3C0F">
        <w:rPr>
          <w:sz w:val="24"/>
          <w:szCs w:val="24"/>
        </w:rPr>
        <w:t>Gothenburg</w:t>
      </w:r>
      <w:bookmarkEnd w:id="2"/>
      <w:r w:rsidR="00246E71" w:rsidRPr="00246E71">
        <w:rPr>
          <w:sz w:val="24"/>
          <w:szCs w:val="24"/>
        </w:rPr>
        <w:t xml:space="preserve">, </w:t>
      </w:r>
      <w:bookmarkStart w:id="3" w:name="_Hlk219101006"/>
      <w:r>
        <w:rPr>
          <w:sz w:val="24"/>
          <w:szCs w:val="24"/>
        </w:rPr>
        <w:t>Sweden</w:t>
      </w:r>
      <w:r w:rsidR="00246E71" w:rsidRPr="00246E71">
        <w:rPr>
          <w:sz w:val="24"/>
          <w:szCs w:val="24"/>
        </w:rPr>
        <w:t xml:space="preserve">, </w:t>
      </w:r>
      <w:r>
        <w:rPr>
          <w:sz w:val="24"/>
          <w:szCs w:val="24"/>
        </w:rPr>
        <w:t>February 9-13</w:t>
      </w:r>
      <w:r w:rsidR="00F97B2E" w:rsidRPr="00533B4C">
        <w:rPr>
          <w:sz w:val="24"/>
          <w:szCs w:val="24"/>
        </w:rPr>
        <w:t>, 202</w:t>
      </w:r>
      <w:bookmarkEnd w:id="3"/>
      <w:r w:rsidR="00432B49">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7894B59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347269">
        <w:rPr>
          <w:rFonts w:cs="Arial"/>
          <w:b/>
          <w:bCs/>
          <w:sz w:val="24"/>
          <w:szCs w:val="24"/>
        </w:rPr>
        <w:t>7</w:t>
      </w:r>
      <w:r w:rsidR="00A40E06">
        <w:rPr>
          <w:rFonts w:cs="Arial"/>
          <w:b/>
          <w:bCs/>
          <w:sz w:val="24"/>
          <w:szCs w:val="24"/>
        </w:rPr>
        <w:t>.8.</w:t>
      </w:r>
      <w:r w:rsidR="00347269">
        <w:rPr>
          <w:rFonts w:cs="Arial"/>
          <w:b/>
          <w:bCs/>
          <w:sz w:val="24"/>
          <w:szCs w:val="24"/>
        </w:rPr>
        <w:t>4</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7627190A"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5A30E8">
        <w:rPr>
          <w:rFonts w:cs="Arial"/>
          <w:b/>
          <w:bCs/>
          <w:sz w:val="24"/>
          <w:szCs w:val="24"/>
        </w:rPr>
        <w:t xml:space="preserve">RRM </w:t>
      </w:r>
      <w:r w:rsidR="002A565F">
        <w:rPr>
          <w:rFonts w:cs="Arial"/>
          <w:b/>
          <w:bCs/>
          <w:sz w:val="24"/>
          <w:szCs w:val="24"/>
        </w:rPr>
        <w:t>R</w:t>
      </w:r>
      <w:r w:rsidR="005A30E8">
        <w:rPr>
          <w:rFonts w:cs="Arial"/>
          <w:b/>
          <w:bCs/>
          <w:sz w:val="24"/>
          <w:szCs w:val="24"/>
        </w:rPr>
        <w:t xml:space="preserve">equirements for </w:t>
      </w:r>
      <w:r w:rsidR="005A30E8" w:rsidRPr="005A30E8">
        <w:rPr>
          <w:rFonts w:cs="Arial"/>
          <w:b/>
          <w:bCs/>
          <w:sz w:val="24"/>
          <w:szCs w:val="24"/>
        </w:rPr>
        <w:t xml:space="preserve">Low </w:t>
      </w:r>
      <w:r w:rsidR="002A565F">
        <w:rPr>
          <w:rFonts w:cs="Arial"/>
          <w:b/>
          <w:bCs/>
          <w:sz w:val="24"/>
          <w:szCs w:val="24"/>
        </w:rPr>
        <w:t>B</w:t>
      </w:r>
      <w:r w:rsidR="005A30E8" w:rsidRPr="005A30E8">
        <w:rPr>
          <w:rFonts w:cs="Arial"/>
          <w:b/>
          <w:bCs/>
          <w:sz w:val="24"/>
          <w:szCs w:val="24"/>
        </w:rPr>
        <w:t xml:space="preserve">and </w:t>
      </w:r>
      <w:r w:rsidR="005A30E8">
        <w:rPr>
          <w:rFonts w:cs="Arial"/>
          <w:b/>
          <w:bCs/>
          <w:sz w:val="24"/>
          <w:szCs w:val="24"/>
        </w:rPr>
        <w:t>CA</w:t>
      </w:r>
      <w:r w:rsidR="005A30E8" w:rsidRPr="005A30E8">
        <w:rPr>
          <w:rFonts w:cs="Arial"/>
          <w:b/>
          <w:bCs/>
          <w:sz w:val="24"/>
          <w:szCs w:val="24"/>
        </w:rPr>
        <w:t xml:space="preserve"> via </w:t>
      </w:r>
      <w:r w:rsidR="002A565F">
        <w:rPr>
          <w:rFonts w:cs="Arial"/>
          <w:b/>
          <w:bCs/>
          <w:sz w:val="24"/>
          <w:szCs w:val="24"/>
        </w:rPr>
        <w:t>S</w:t>
      </w:r>
      <w:r w:rsidR="005A30E8" w:rsidRPr="005A30E8">
        <w:rPr>
          <w:rFonts w:cs="Arial"/>
          <w:b/>
          <w:bCs/>
          <w:sz w:val="24"/>
          <w:szCs w:val="24"/>
        </w:rPr>
        <w:t>witching</w:t>
      </w:r>
      <w:r w:rsidR="00347269">
        <w:rPr>
          <w:rFonts w:cs="Arial"/>
          <w:b/>
          <w:bCs/>
          <w:sz w:val="24"/>
          <w:szCs w:val="24"/>
        </w:rPr>
        <w:t xml:space="preserve"> Enhancement</w:t>
      </w:r>
    </w:p>
    <w:p w14:paraId="30E02944" w14:textId="4DAE5DA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p>
    <w:p w14:paraId="7CF7938E" w14:textId="633C7172" w:rsidR="00ED1327" w:rsidRDefault="00EE7FA7" w:rsidP="00ED1327">
      <w:pPr>
        <w:pStyle w:val="Heading1"/>
      </w:pPr>
      <w:bookmarkStart w:id="4" w:name="_Ref134976538"/>
      <w:bookmarkStart w:id="5" w:name="_Ref158120157"/>
      <w:r w:rsidRPr="0016316A">
        <w:t>Introduction</w:t>
      </w:r>
      <w:bookmarkEnd w:id="4"/>
      <w:bookmarkEnd w:id="5"/>
    </w:p>
    <w:p w14:paraId="3C3A4219" w14:textId="77777777" w:rsidR="00A45C02" w:rsidRPr="00395B1B" w:rsidRDefault="009A45FD" w:rsidP="00523CAE">
      <w:pPr>
        <w:rPr>
          <w:sz w:val="22"/>
          <w:szCs w:val="22"/>
        </w:rPr>
      </w:pPr>
      <w:bookmarkStart w:id="6" w:name="_Hlk510705081"/>
      <w:r w:rsidRPr="00395B1B">
        <w:rPr>
          <w:sz w:val="22"/>
          <w:szCs w:val="22"/>
        </w:rPr>
        <w:t>In the last RAN4 meeting (RAN4#118) a way forward on RRM core requirements for Rel-</w:t>
      </w:r>
      <w:r w:rsidR="00911A75" w:rsidRPr="00395B1B">
        <w:rPr>
          <w:sz w:val="22"/>
          <w:szCs w:val="22"/>
        </w:rPr>
        <w:t xml:space="preserve">20 </w:t>
      </w:r>
      <w:r w:rsidR="00FE5CD3" w:rsidRPr="00395B1B">
        <w:rPr>
          <w:sz w:val="22"/>
          <w:szCs w:val="22"/>
        </w:rPr>
        <w:t xml:space="preserve">WI on </w:t>
      </w:r>
      <w:r w:rsidR="00911A75" w:rsidRPr="00395B1B">
        <w:rPr>
          <w:sz w:val="22"/>
          <w:szCs w:val="22"/>
        </w:rPr>
        <w:t xml:space="preserve">“Enhancement of low NR band carrier aggregation via switching” </w:t>
      </w:r>
      <w:r w:rsidRPr="00395B1B">
        <w:rPr>
          <w:sz w:val="22"/>
          <w:szCs w:val="22"/>
        </w:rPr>
        <w:t xml:space="preserve">(NR_LBCA_Sw_enh-Core) </w:t>
      </w:r>
      <w:r w:rsidR="00B57429" w:rsidRPr="00395B1B">
        <w:rPr>
          <w:sz w:val="22"/>
          <w:szCs w:val="22"/>
        </w:rPr>
        <w:t xml:space="preserve">was </w:t>
      </w:r>
      <w:r w:rsidRPr="00395B1B">
        <w:rPr>
          <w:sz w:val="22"/>
          <w:szCs w:val="22"/>
        </w:rPr>
        <w:t xml:space="preserve">approved </w:t>
      </w:r>
      <w:r w:rsidR="00FE5CD3" w:rsidRPr="00395B1B">
        <w:rPr>
          <w:sz w:val="22"/>
          <w:szCs w:val="22"/>
        </w:rPr>
        <w:t xml:space="preserve">[1]. </w:t>
      </w:r>
    </w:p>
    <w:p w14:paraId="3A34C4EB" w14:textId="6963FEFE" w:rsidR="008B6950" w:rsidRPr="00395B1B" w:rsidRDefault="008B6950" w:rsidP="00A45C02">
      <w:pPr>
        <w:spacing w:before="240"/>
        <w:rPr>
          <w:sz w:val="22"/>
          <w:szCs w:val="22"/>
        </w:rPr>
      </w:pPr>
      <w:r w:rsidRPr="00395B1B">
        <w:rPr>
          <w:sz w:val="22"/>
          <w:szCs w:val="22"/>
        </w:rPr>
        <w:t xml:space="preserve">The approved WF contains a list of Rel-19 LBCA RRM core requirements which can be made applicable to corresponding Rel-20 LBCA RRM features. In addition, the approved WF </w:t>
      </w:r>
      <w:r w:rsidR="00084CBB" w:rsidRPr="00395B1B">
        <w:rPr>
          <w:sz w:val="22"/>
          <w:szCs w:val="22"/>
        </w:rPr>
        <w:t xml:space="preserve">also identified Rel-20 specific RRM core requirements for LBCA. </w:t>
      </w:r>
    </w:p>
    <w:p w14:paraId="563E9D6A" w14:textId="3823A1E5" w:rsidR="003A11E6" w:rsidRPr="00395B1B" w:rsidRDefault="0032029F" w:rsidP="00672436">
      <w:pPr>
        <w:spacing w:before="240"/>
        <w:rPr>
          <w:sz w:val="22"/>
          <w:szCs w:val="22"/>
        </w:rPr>
      </w:pPr>
      <w:r w:rsidRPr="00395B1B">
        <w:rPr>
          <w:sz w:val="22"/>
          <w:szCs w:val="22"/>
        </w:rPr>
        <w:t>In t</w:t>
      </w:r>
      <w:r w:rsidR="00C47BE3" w:rsidRPr="00395B1B">
        <w:rPr>
          <w:sz w:val="22"/>
          <w:szCs w:val="22"/>
        </w:rPr>
        <w:t xml:space="preserve">his contribution </w:t>
      </w:r>
      <w:r w:rsidRPr="00395B1B">
        <w:rPr>
          <w:sz w:val="22"/>
          <w:szCs w:val="22"/>
        </w:rPr>
        <w:t xml:space="preserve">we </w:t>
      </w:r>
      <w:r w:rsidR="00C47BE3" w:rsidRPr="00395B1B">
        <w:rPr>
          <w:sz w:val="22"/>
          <w:szCs w:val="22"/>
        </w:rPr>
        <w:t>provide</w:t>
      </w:r>
      <w:r w:rsidRPr="00395B1B">
        <w:rPr>
          <w:sz w:val="22"/>
          <w:szCs w:val="22"/>
        </w:rPr>
        <w:t xml:space="preserve"> </w:t>
      </w:r>
      <w:r w:rsidR="00C47BE3" w:rsidRPr="00395B1B">
        <w:rPr>
          <w:sz w:val="22"/>
          <w:szCs w:val="22"/>
        </w:rPr>
        <w:t xml:space="preserve">our views on </w:t>
      </w:r>
      <w:r w:rsidR="000C686A" w:rsidRPr="00395B1B">
        <w:rPr>
          <w:sz w:val="22"/>
          <w:szCs w:val="22"/>
        </w:rPr>
        <w:t xml:space="preserve">the need for </w:t>
      </w:r>
      <w:r w:rsidR="00AC5631" w:rsidRPr="00395B1B">
        <w:rPr>
          <w:sz w:val="22"/>
          <w:szCs w:val="22"/>
        </w:rPr>
        <w:t xml:space="preserve">some </w:t>
      </w:r>
      <w:r w:rsidR="00084CBB" w:rsidRPr="00395B1B">
        <w:rPr>
          <w:sz w:val="22"/>
          <w:szCs w:val="22"/>
        </w:rPr>
        <w:t xml:space="preserve">additional </w:t>
      </w:r>
      <w:r w:rsidR="00AC5631" w:rsidRPr="00395B1B">
        <w:rPr>
          <w:sz w:val="22"/>
          <w:szCs w:val="22"/>
        </w:rPr>
        <w:t>RRM core requirement</w:t>
      </w:r>
      <w:r w:rsidR="00084CBB" w:rsidRPr="00395B1B">
        <w:rPr>
          <w:sz w:val="22"/>
          <w:szCs w:val="22"/>
        </w:rPr>
        <w:t xml:space="preserve">s for LBCA enhancements in Rel-20. </w:t>
      </w:r>
    </w:p>
    <w:p w14:paraId="7E7F2F48" w14:textId="2424AFE4" w:rsidR="00144148" w:rsidRDefault="00144148" w:rsidP="00672436">
      <w:pPr>
        <w:pStyle w:val="Heading1"/>
      </w:pPr>
      <w:r>
        <w:t>Analysis of RRM core requirements</w:t>
      </w:r>
    </w:p>
    <w:p w14:paraId="76AB5CFF" w14:textId="3A5B62C9" w:rsidR="003749CB" w:rsidRPr="00395B1B" w:rsidRDefault="009C6D22" w:rsidP="00F04FE8">
      <w:pPr>
        <w:rPr>
          <w:sz w:val="22"/>
          <w:szCs w:val="22"/>
          <w:lang w:val="en-GB"/>
        </w:rPr>
      </w:pPr>
      <w:r w:rsidRPr="00395B1B">
        <w:rPr>
          <w:sz w:val="22"/>
          <w:szCs w:val="22"/>
          <w:lang w:val="en-GB"/>
        </w:rPr>
        <w:t xml:space="preserve">During the early phase of </w:t>
      </w:r>
      <w:r w:rsidR="00F04FE8" w:rsidRPr="00395B1B">
        <w:rPr>
          <w:sz w:val="22"/>
          <w:szCs w:val="22"/>
          <w:lang w:val="en-GB"/>
        </w:rPr>
        <w:t>Rel</w:t>
      </w:r>
      <w:r w:rsidR="000D25CB" w:rsidRPr="00395B1B">
        <w:rPr>
          <w:sz w:val="22"/>
          <w:szCs w:val="22"/>
          <w:lang w:val="en-GB"/>
        </w:rPr>
        <w:t>-</w:t>
      </w:r>
      <w:r w:rsidR="00F04FE8" w:rsidRPr="00395B1B">
        <w:rPr>
          <w:sz w:val="22"/>
          <w:szCs w:val="22"/>
          <w:lang w:val="en-GB"/>
        </w:rPr>
        <w:t>19 WI on Low Band CA via Switching (NR_LBCA_Sw-Core)</w:t>
      </w:r>
      <w:r w:rsidRPr="00395B1B">
        <w:rPr>
          <w:sz w:val="22"/>
          <w:szCs w:val="22"/>
          <w:lang w:val="en-GB"/>
        </w:rPr>
        <w:t xml:space="preserve">, the need for defining RRM core requirements related to LTM cell switch was discussed [2][3]. However, there was no further analysis or discussion related to LTM cell switch RRM requirements under low and CA via switching. </w:t>
      </w:r>
      <w:r w:rsidR="003D5582" w:rsidRPr="00395B1B">
        <w:rPr>
          <w:sz w:val="22"/>
          <w:szCs w:val="22"/>
          <w:lang w:val="en-GB"/>
        </w:rPr>
        <w:t>As of now, LTM cell switch RRM requirements under low and CA via switching are not supported in Rel-19 [4].</w:t>
      </w:r>
    </w:p>
    <w:p w14:paraId="514F70E4" w14:textId="5C93E473" w:rsidR="00F04FE8" w:rsidRPr="00395B1B" w:rsidRDefault="009C6D22" w:rsidP="00AD78FD">
      <w:pPr>
        <w:spacing w:before="240"/>
        <w:rPr>
          <w:sz w:val="22"/>
          <w:szCs w:val="22"/>
          <w:lang w:val="en-GB"/>
        </w:rPr>
      </w:pPr>
      <w:r w:rsidRPr="00395B1B">
        <w:rPr>
          <w:sz w:val="22"/>
          <w:szCs w:val="22"/>
          <w:lang w:val="en-GB"/>
        </w:rPr>
        <w:t xml:space="preserve">Therefore, </w:t>
      </w:r>
      <w:r w:rsidR="00A37B9B" w:rsidRPr="00395B1B">
        <w:rPr>
          <w:sz w:val="22"/>
          <w:szCs w:val="22"/>
          <w:lang w:val="en-GB"/>
        </w:rPr>
        <w:t xml:space="preserve">Rel-19 UE configured with low band CA via switching will not be capable of meeting the RRM requirements defined for LTM cell switch </w:t>
      </w:r>
      <w:r w:rsidR="00B6593F" w:rsidRPr="00395B1B">
        <w:rPr>
          <w:sz w:val="22"/>
          <w:szCs w:val="22"/>
          <w:lang w:val="en-GB"/>
        </w:rPr>
        <w:t xml:space="preserve">delay </w:t>
      </w:r>
      <w:r w:rsidR="00A37B9B" w:rsidRPr="00395B1B">
        <w:rPr>
          <w:sz w:val="22"/>
          <w:szCs w:val="22"/>
          <w:lang w:val="en-GB"/>
        </w:rPr>
        <w:t>in claus</w:t>
      </w:r>
      <w:r w:rsidR="00B6593F" w:rsidRPr="00395B1B">
        <w:rPr>
          <w:sz w:val="22"/>
          <w:szCs w:val="22"/>
          <w:lang w:val="en-GB"/>
        </w:rPr>
        <w:t xml:space="preserve">e 6.3.1.2 of TS 38.133. This means the network can mainly rely on layer-3 handover for mobility purpose. The LTM is </w:t>
      </w:r>
      <w:r w:rsidR="003749CB" w:rsidRPr="00395B1B">
        <w:rPr>
          <w:sz w:val="22"/>
          <w:szCs w:val="22"/>
          <w:lang w:val="en-GB"/>
        </w:rPr>
        <w:t>highly beneficial feature in terms of reducing handover delay and thereby enhances mobility performance. We therefore propose that LTM cell switch related requirements are supported for the UE configured with low and CA via switching in Rel-20. The impact on the LTM cell switch related requirements is analysed below:</w:t>
      </w:r>
    </w:p>
    <w:p w14:paraId="27EBBBF8" w14:textId="000A0BA8" w:rsidR="00812C3C" w:rsidRPr="00395B1B" w:rsidRDefault="00812C3C" w:rsidP="00395B1B">
      <w:pPr>
        <w:pStyle w:val="ListParagraph"/>
        <w:numPr>
          <w:ilvl w:val="0"/>
          <w:numId w:val="228"/>
        </w:numPr>
        <w:spacing w:before="240" w:after="240"/>
        <w:rPr>
          <w:sz w:val="22"/>
          <w:szCs w:val="22"/>
        </w:rPr>
      </w:pPr>
      <w:r w:rsidRPr="00395B1B">
        <w:rPr>
          <w:b/>
          <w:bCs/>
          <w:i/>
          <w:iCs/>
          <w:sz w:val="22"/>
          <w:szCs w:val="22"/>
        </w:rPr>
        <w:t xml:space="preserve">Observation 1: LTM cell switch related core RRM requirements under low and CA via switching are not supported in Rel-19. </w:t>
      </w:r>
    </w:p>
    <w:p w14:paraId="45076C63" w14:textId="6F47F669" w:rsidR="0044480B" w:rsidRPr="00395B1B" w:rsidRDefault="0044480B" w:rsidP="00395B1B">
      <w:pPr>
        <w:pStyle w:val="ListParagraph"/>
        <w:numPr>
          <w:ilvl w:val="0"/>
          <w:numId w:val="228"/>
        </w:numPr>
        <w:spacing w:after="240"/>
        <w:rPr>
          <w:sz w:val="22"/>
          <w:szCs w:val="22"/>
        </w:rPr>
      </w:pPr>
      <w:r w:rsidRPr="00395B1B">
        <w:rPr>
          <w:b/>
          <w:bCs/>
          <w:i/>
          <w:iCs/>
          <w:sz w:val="22"/>
          <w:szCs w:val="22"/>
        </w:rPr>
        <w:t xml:space="preserve">Observation 2: </w:t>
      </w:r>
      <w:r w:rsidR="00820326" w:rsidRPr="00395B1B">
        <w:rPr>
          <w:b/>
          <w:bCs/>
          <w:i/>
          <w:iCs/>
          <w:sz w:val="22"/>
          <w:szCs w:val="22"/>
        </w:rPr>
        <w:t xml:space="preserve">For a UE conigured with low band CA via switching, network has to mainly rely on layer-3 handover for mobility resulting in much longer handover delay compared to </w:t>
      </w:r>
      <w:r w:rsidRPr="00395B1B">
        <w:rPr>
          <w:b/>
          <w:bCs/>
          <w:i/>
          <w:iCs/>
          <w:sz w:val="22"/>
          <w:szCs w:val="22"/>
        </w:rPr>
        <w:t xml:space="preserve">LTM cell switch </w:t>
      </w:r>
      <w:r w:rsidR="00820326" w:rsidRPr="00395B1B">
        <w:rPr>
          <w:b/>
          <w:bCs/>
          <w:i/>
          <w:iCs/>
          <w:sz w:val="22"/>
          <w:szCs w:val="22"/>
        </w:rPr>
        <w:t>delay</w:t>
      </w:r>
      <w:r w:rsidRPr="00395B1B">
        <w:rPr>
          <w:b/>
          <w:bCs/>
          <w:i/>
          <w:iCs/>
          <w:sz w:val="22"/>
          <w:szCs w:val="22"/>
        </w:rPr>
        <w:t xml:space="preserve">. </w:t>
      </w:r>
    </w:p>
    <w:p w14:paraId="79B02741" w14:textId="16A7321A" w:rsidR="00701257" w:rsidRDefault="00701257" w:rsidP="00144148">
      <w:pPr>
        <w:pStyle w:val="Heading2"/>
      </w:pPr>
      <w:bookmarkStart w:id="7" w:name="_Toc158371561"/>
      <w:r>
        <w:t xml:space="preserve">LTM </w:t>
      </w:r>
      <w:r w:rsidR="00A63ED3">
        <w:t xml:space="preserve">cell switch </w:t>
      </w:r>
      <w:r w:rsidR="008A5470">
        <w:t xml:space="preserve">delay </w:t>
      </w:r>
      <w:r>
        <w:t>requirements</w:t>
      </w:r>
    </w:p>
    <w:p w14:paraId="62D4C27A" w14:textId="1007F62D" w:rsidR="00B457EA" w:rsidRPr="00395B1B" w:rsidRDefault="00A4518C" w:rsidP="00A63ED3">
      <w:pPr>
        <w:rPr>
          <w:rFonts w:eastAsia="Malgun Gothic" w:cs="v4.2.0"/>
          <w:sz w:val="22"/>
          <w:szCs w:val="22"/>
          <w:lang w:val="en-GB" w:eastAsia="en-GB"/>
        </w:rPr>
      </w:pPr>
      <w:r w:rsidRPr="00395B1B">
        <w:rPr>
          <w:sz w:val="22"/>
          <w:szCs w:val="22"/>
          <w:lang w:val="en-GB"/>
        </w:rPr>
        <w:t xml:space="preserve">Section 6.3.1.2 of TS 38.133 specifies </w:t>
      </w:r>
      <w:r w:rsidRPr="00395B1B">
        <w:rPr>
          <w:rFonts w:eastAsia="Malgun Gothic" w:cs="v4.2.0"/>
          <w:sz w:val="22"/>
          <w:szCs w:val="22"/>
          <w:lang w:val="en-GB" w:eastAsia="en-GB"/>
        </w:rPr>
        <w:t>LTM cell switch delay (D</w:t>
      </w:r>
      <w:r w:rsidRPr="00395B1B">
        <w:rPr>
          <w:rFonts w:eastAsia="Malgun Gothic" w:cs="v4.2.0"/>
          <w:sz w:val="22"/>
          <w:szCs w:val="22"/>
          <w:vertAlign w:val="subscript"/>
          <w:lang w:val="en-GB" w:eastAsia="en-GB"/>
        </w:rPr>
        <w:t>LTM</w:t>
      </w:r>
      <w:r w:rsidRPr="00395B1B">
        <w:rPr>
          <w:rFonts w:eastAsia="Malgun Gothic" w:cs="v4.2.0"/>
          <w:sz w:val="22"/>
          <w:szCs w:val="22"/>
          <w:lang w:val="en-GB" w:eastAsia="en-GB"/>
        </w:rPr>
        <w:t>) within which the UE is required to complete the LTM cell switch to the target cell</w:t>
      </w:r>
      <w:r w:rsidR="00B457EA" w:rsidRPr="00395B1B">
        <w:rPr>
          <w:rFonts w:eastAsia="Malgun Gothic" w:cs="v4.2.0"/>
          <w:sz w:val="22"/>
          <w:szCs w:val="22"/>
          <w:lang w:val="en-GB" w:eastAsia="en-GB"/>
        </w:rPr>
        <w:t>, i.e.</w:t>
      </w:r>
    </w:p>
    <w:p w14:paraId="01412537" w14:textId="4DDF524E" w:rsidR="00B457EA" w:rsidRPr="00395B1B" w:rsidRDefault="00B457EA" w:rsidP="00395B1B">
      <w:pPr>
        <w:spacing w:before="240" w:after="240"/>
        <w:jc w:val="center"/>
        <w:rPr>
          <w:rFonts w:eastAsia="Malgun Gothic" w:cs="v4.2.0"/>
          <w:sz w:val="22"/>
          <w:szCs w:val="22"/>
          <w:lang w:val="en-GB" w:eastAsia="en-GB"/>
        </w:rPr>
      </w:pPr>
      <w:r w:rsidRPr="00395B1B">
        <w:rPr>
          <w:rFonts w:eastAsia="Malgun Gothic"/>
          <w:sz w:val="22"/>
          <w:szCs w:val="22"/>
          <w:lang w:val="en-GB" w:eastAsia="en-GB"/>
        </w:rPr>
        <w:t>D</w:t>
      </w:r>
      <w:r w:rsidRPr="00395B1B">
        <w:rPr>
          <w:rFonts w:eastAsia="Malgun Gothic"/>
          <w:sz w:val="22"/>
          <w:szCs w:val="22"/>
          <w:vertAlign w:val="subscript"/>
          <w:lang w:val="en-GB" w:eastAsia="en-GB"/>
        </w:rPr>
        <w:t>LTM</w:t>
      </w:r>
      <w:r w:rsidRPr="00395B1B">
        <w:rPr>
          <w:rFonts w:eastAsia="Malgun Gothic"/>
          <w:sz w:val="22"/>
          <w:szCs w:val="22"/>
          <w:lang w:val="en-GB" w:eastAsia="en-GB"/>
        </w:rPr>
        <w:t xml:space="preserve"> = T</w:t>
      </w:r>
      <w:r w:rsidRPr="00395B1B">
        <w:rPr>
          <w:rFonts w:eastAsia="Malgun Gothic"/>
          <w:sz w:val="22"/>
          <w:szCs w:val="22"/>
          <w:vertAlign w:val="subscript"/>
          <w:lang w:val="en-GB" w:eastAsia="en-GB"/>
        </w:rPr>
        <w:t>cmd</w:t>
      </w:r>
      <w:r w:rsidRPr="00395B1B">
        <w:rPr>
          <w:rFonts w:eastAsia="Malgun Gothic"/>
          <w:sz w:val="22"/>
          <w:szCs w:val="22"/>
          <w:lang w:val="en-GB" w:eastAsia="en-GB"/>
        </w:rPr>
        <w:t xml:space="preserve"> + T</w:t>
      </w:r>
      <w:r w:rsidRPr="00395B1B">
        <w:rPr>
          <w:rFonts w:eastAsia="Malgun Gothic"/>
          <w:sz w:val="22"/>
          <w:szCs w:val="22"/>
          <w:vertAlign w:val="subscript"/>
          <w:lang w:val="en-GB" w:eastAsia="en-GB"/>
        </w:rPr>
        <w:t>LTM-interrupt</w:t>
      </w:r>
    </w:p>
    <w:p w14:paraId="248839F1" w14:textId="77777777" w:rsidR="00395B1B" w:rsidRPr="00395B1B" w:rsidRDefault="00015EC9" w:rsidP="00395B1B">
      <w:pPr>
        <w:spacing w:after="240"/>
        <w:rPr>
          <w:rFonts w:eastAsia="Malgun Gothic" w:cs="v4.2.0"/>
          <w:sz w:val="22"/>
          <w:szCs w:val="22"/>
          <w:lang w:val="en-GB" w:eastAsia="en-GB"/>
        </w:rPr>
      </w:pPr>
      <w:r w:rsidRPr="00395B1B">
        <w:rPr>
          <w:rFonts w:eastAsia="Malgun Gothic" w:cs="v4.2.0"/>
          <w:sz w:val="22"/>
          <w:szCs w:val="22"/>
          <w:lang w:val="en-GB" w:eastAsia="en-GB"/>
        </w:rPr>
        <w:t xml:space="preserve">The UE may be configured with low band CA switching pattern while the UE is requested by the network </w:t>
      </w:r>
      <w:r w:rsidR="00BF3BD2" w:rsidRPr="00395B1B">
        <w:rPr>
          <w:rFonts w:eastAsia="Malgun Gothic" w:cs="v4.2.0"/>
          <w:sz w:val="22"/>
          <w:szCs w:val="22"/>
          <w:lang w:val="en-GB" w:eastAsia="en-GB"/>
        </w:rPr>
        <w:t xml:space="preserve">(via MAC-CE command) </w:t>
      </w:r>
      <w:r w:rsidRPr="00395B1B">
        <w:rPr>
          <w:rFonts w:eastAsia="Malgun Gothic" w:cs="v4.2.0"/>
          <w:sz w:val="22"/>
          <w:szCs w:val="22"/>
          <w:lang w:val="en-GB" w:eastAsia="en-GB"/>
        </w:rPr>
        <w:t xml:space="preserve">to perform the LTM cell switch to the target cell. </w:t>
      </w:r>
    </w:p>
    <w:p w14:paraId="78519F5C" w14:textId="74315B4B" w:rsidR="00015EC9" w:rsidRPr="00395B1B" w:rsidRDefault="00E53F38" w:rsidP="00395B1B">
      <w:pPr>
        <w:spacing w:after="240"/>
        <w:rPr>
          <w:rFonts w:eastAsia="Malgun Gothic" w:cs="v4.2.0"/>
          <w:sz w:val="22"/>
          <w:szCs w:val="22"/>
          <w:lang w:val="en-GB" w:eastAsia="en-GB"/>
        </w:rPr>
      </w:pPr>
      <w:r w:rsidRPr="00395B1B">
        <w:rPr>
          <w:rFonts w:eastAsia="Malgun Gothic" w:cs="v4.2.0"/>
          <w:sz w:val="22"/>
          <w:szCs w:val="22"/>
          <w:lang w:val="en-GB" w:eastAsia="en-GB"/>
        </w:rPr>
        <w:lastRenderedPageBreak/>
        <w:t>A</w:t>
      </w:r>
      <w:r w:rsidR="001C09DA" w:rsidRPr="00395B1B">
        <w:rPr>
          <w:rFonts w:eastAsia="Malgun Gothic" w:cs="v4.2.0"/>
          <w:sz w:val="22"/>
          <w:szCs w:val="22"/>
          <w:lang w:val="en-GB" w:eastAsia="en-GB"/>
        </w:rPr>
        <w:t>fter processing the MAC-CE command</w:t>
      </w:r>
      <w:r w:rsidRPr="00395B1B">
        <w:rPr>
          <w:rFonts w:eastAsia="Malgun Gothic" w:cs="v4.2.0"/>
          <w:sz w:val="22"/>
          <w:szCs w:val="22"/>
          <w:lang w:val="en-GB" w:eastAsia="en-GB"/>
        </w:rPr>
        <w:t xml:space="preserve"> for LTM cell switch</w:t>
      </w:r>
      <w:r w:rsidR="001C09DA" w:rsidRPr="00395B1B">
        <w:rPr>
          <w:rFonts w:eastAsia="Malgun Gothic" w:cs="v4.2.0"/>
          <w:sz w:val="22"/>
          <w:szCs w:val="22"/>
          <w:lang w:val="en-GB" w:eastAsia="en-GB"/>
        </w:rPr>
        <w:t>, the UE</w:t>
      </w:r>
      <w:r w:rsidRPr="00395B1B">
        <w:rPr>
          <w:rFonts w:eastAsia="Malgun Gothic" w:cs="v4.2.0"/>
          <w:sz w:val="22"/>
          <w:szCs w:val="22"/>
          <w:lang w:val="en-GB" w:eastAsia="en-GB"/>
        </w:rPr>
        <w:t xml:space="preserve"> will have to </w:t>
      </w:r>
      <w:r w:rsidR="001C09DA" w:rsidRPr="00395B1B">
        <w:rPr>
          <w:rFonts w:eastAsia="Malgun Gothic" w:cs="v4.2.0"/>
          <w:sz w:val="22"/>
          <w:szCs w:val="22"/>
          <w:lang w:val="en-GB" w:eastAsia="en-GB"/>
        </w:rPr>
        <w:t xml:space="preserve">deactivate the switching pattern </w:t>
      </w:r>
      <w:r w:rsidR="008C53AE" w:rsidRPr="00395B1B">
        <w:rPr>
          <w:rFonts w:eastAsia="Malgun Gothic" w:cs="v4.2.0"/>
          <w:sz w:val="22"/>
          <w:szCs w:val="22"/>
          <w:lang w:val="en-GB" w:eastAsia="en-GB"/>
        </w:rPr>
        <w:t xml:space="preserve">(if configured) </w:t>
      </w:r>
      <w:r w:rsidR="001C09DA" w:rsidRPr="00395B1B">
        <w:rPr>
          <w:rFonts w:eastAsia="Malgun Gothic" w:cs="v4.2.0"/>
          <w:sz w:val="22"/>
          <w:szCs w:val="22"/>
          <w:lang w:val="en-GB" w:eastAsia="en-GB"/>
        </w:rPr>
        <w:t xml:space="preserve">before </w:t>
      </w:r>
      <w:r w:rsidR="007A76F0" w:rsidRPr="00395B1B">
        <w:rPr>
          <w:rFonts w:eastAsia="Malgun Gothic" w:cs="v4.2.0"/>
          <w:sz w:val="22"/>
          <w:szCs w:val="22"/>
          <w:lang w:val="en-GB" w:eastAsia="en-GB"/>
        </w:rPr>
        <w:t>initiating/</w:t>
      </w:r>
      <w:r w:rsidR="001C09DA" w:rsidRPr="00395B1B">
        <w:rPr>
          <w:rFonts w:eastAsia="Malgun Gothic" w:cs="v4.2.0"/>
          <w:sz w:val="22"/>
          <w:szCs w:val="22"/>
          <w:lang w:val="en-GB" w:eastAsia="en-GB"/>
        </w:rPr>
        <w:t>performing necessary tasks for completing the LTM cell switch</w:t>
      </w:r>
      <w:r w:rsidR="00B457EA" w:rsidRPr="00395B1B">
        <w:rPr>
          <w:rFonts w:eastAsia="Malgun Gothic" w:cs="v4.2.0"/>
          <w:sz w:val="22"/>
          <w:szCs w:val="22"/>
          <w:lang w:val="en-GB" w:eastAsia="en-GB"/>
        </w:rPr>
        <w:t xml:space="preserve">, i.e., during </w:t>
      </w:r>
      <w:r w:rsidR="00B457EA" w:rsidRPr="00395B1B">
        <w:rPr>
          <w:rFonts w:eastAsia="Malgun Gothic"/>
          <w:sz w:val="22"/>
          <w:szCs w:val="22"/>
          <w:lang w:val="en-GB" w:eastAsia="en-GB"/>
        </w:rPr>
        <w:t>T</w:t>
      </w:r>
      <w:r w:rsidR="00B457EA" w:rsidRPr="00395B1B">
        <w:rPr>
          <w:rFonts w:eastAsia="Malgun Gothic"/>
          <w:sz w:val="22"/>
          <w:szCs w:val="22"/>
          <w:vertAlign w:val="subscript"/>
          <w:lang w:val="en-GB" w:eastAsia="en-GB"/>
        </w:rPr>
        <w:t>cmd</w:t>
      </w:r>
      <w:r w:rsidR="001C09DA" w:rsidRPr="00395B1B">
        <w:rPr>
          <w:rFonts w:eastAsia="Malgun Gothic" w:cs="v4.2.0"/>
          <w:sz w:val="22"/>
          <w:szCs w:val="22"/>
          <w:lang w:val="en-GB" w:eastAsia="en-GB"/>
        </w:rPr>
        <w:t xml:space="preserve">. These necessary tasks </w:t>
      </w:r>
      <w:r w:rsidR="006A7F24" w:rsidRPr="00395B1B">
        <w:rPr>
          <w:rFonts w:eastAsia="Malgun Gothic" w:cs="v4.2.0"/>
          <w:sz w:val="22"/>
          <w:szCs w:val="22"/>
          <w:lang w:val="en-GB" w:eastAsia="en-GB"/>
        </w:rPr>
        <w:t>(being part of the interruption time</w:t>
      </w:r>
      <w:r w:rsidR="00B457EA" w:rsidRPr="00395B1B">
        <w:rPr>
          <w:rFonts w:eastAsia="Malgun Gothic" w:cs="v4.2.0"/>
          <w:sz w:val="22"/>
          <w:szCs w:val="22"/>
          <w:lang w:val="en-GB" w:eastAsia="en-GB"/>
        </w:rPr>
        <w:t xml:space="preserve"> (</w:t>
      </w:r>
      <w:r w:rsidR="00B457EA" w:rsidRPr="00395B1B">
        <w:rPr>
          <w:rFonts w:eastAsia="Malgun Gothic"/>
          <w:sz w:val="22"/>
          <w:szCs w:val="22"/>
          <w:lang w:val="en-GB" w:eastAsia="en-GB"/>
        </w:rPr>
        <w:t>T</w:t>
      </w:r>
      <w:r w:rsidR="00B457EA" w:rsidRPr="00395B1B">
        <w:rPr>
          <w:rFonts w:eastAsia="Malgun Gothic"/>
          <w:sz w:val="22"/>
          <w:szCs w:val="22"/>
          <w:vertAlign w:val="subscript"/>
          <w:lang w:val="en-GB" w:eastAsia="en-GB"/>
        </w:rPr>
        <w:t>LTM-interrupt</w:t>
      </w:r>
      <w:r w:rsidR="00B457EA" w:rsidRPr="00395B1B">
        <w:rPr>
          <w:rFonts w:eastAsia="Malgun Gothic" w:cs="v4.2.0"/>
          <w:sz w:val="22"/>
          <w:szCs w:val="22"/>
          <w:lang w:val="en-GB" w:eastAsia="en-GB"/>
        </w:rPr>
        <w:t>)</w:t>
      </w:r>
      <w:r w:rsidR="006A7F24" w:rsidRPr="00395B1B">
        <w:rPr>
          <w:rFonts w:eastAsia="Malgun Gothic" w:cs="v4.2.0"/>
          <w:sz w:val="22"/>
          <w:szCs w:val="22"/>
          <w:lang w:val="en-GB" w:eastAsia="en-GB"/>
        </w:rPr>
        <w:t xml:space="preserve">) </w:t>
      </w:r>
      <w:r w:rsidR="001C09DA" w:rsidRPr="00395B1B">
        <w:rPr>
          <w:rFonts w:eastAsia="Malgun Gothic" w:cs="v4.2.0"/>
          <w:sz w:val="22"/>
          <w:szCs w:val="22"/>
          <w:lang w:val="en-GB" w:eastAsia="en-GB"/>
        </w:rPr>
        <w:t>a</w:t>
      </w:r>
      <w:r w:rsidR="006A7F24" w:rsidRPr="00395B1B">
        <w:rPr>
          <w:rFonts w:eastAsia="Malgun Gothic" w:cs="v4.2.0"/>
          <w:sz w:val="22"/>
          <w:szCs w:val="22"/>
          <w:lang w:val="en-GB" w:eastAsia="en-GB"/>
        </w:rPr>
        <w:t xml:space="preserve">s </w:t>
      </w:r>
      <w:r w:rsidR="001C09DA" w:rsidRPr="00395B1B">
        <w:rPr>
          <w:rFonts w:eastAsia="Malgun Gothic" w:cs="v4.2.0"/>
          <w:sz w:val="22"/>
          <w:szCs w:val="22"/>
          <w:lang w:val="en-GB" w:eastAsia="en-GB"/>
        </w:rPr>
        <w:t>described in section 6.3.1.3</w:t>
      </w:r>
      <w:r w:rsidR="006A7F24" w:rsidRPr="00395B1B">
        <w:rPr>
          <w:rFonts w:eastAsia="Malgun Gothic" w:cs="v4.2.0"/>
          <w:sz w:val="22"/>
          <w:szCs w:val="22"/>
          <w:lang w:val="en-GB" w:eastAsia="en-GB"/>
        </w:rPr>
        <w:t xml:space="preserve"> comprise: </w:t>
      </w:r>
      <w:r w:rsidR="001C09DA" w:rsidRPr="00395B1B">
        <w:rPr>
          <w:rFonts w:eastAsia="Malgun Gothic" w:cs="v4.2.0"/>
          <w:sz w:val="22"/>
          <w:szCs w:val="22"/>
          <w:lang w:val="en-GB" w:eastAsia="en-GB"/>
        </w:rPr>
        <w:t>LTM RRC processing time (</w:t>
      </w:r>
      <w:r w:rsidR="001C09DA" w:rsidRPr="00395B1B">
        <w:rPr>
          <w:rFonts w:eastAsia="Malgun Gothic"/>
          <w:sz w:val="22"/>
          <w:szCs w:val="22"/>
          <w:lang w:val="en-GB"/>
        </w:rPr>
        <w:t>T</w:t>
      </w:r>
      <w:r w:rsidR="001C09DA" w:rsidRPr="00395B1B">
        <w:rPr>
          <w:rFonts w:eastAsia="Malgun Gothic"/>
          <w:sz w:val="22"/>
          <w:szCs w:val="22"/>
          <w:vertAlign w:val="subscript"/>
          <w:lang w:val="en-GB"/>
        </w:rPr>
        <w:t>LTM-RRC-processing</w:t>
      </w:r>
      <w:r w:rsidR="001C09DA" w:rsidRPr="00395B1B">
        <w:rPr>
          <w:rFonts w:eastAsia="Malgun Gothic" w:cs="v4.2.0"/>
          <w:sz w:val="22"/>
          <w:szCs w:val="22"/>
          <w:lang w:val="en-GB" w:eastAsia="en-GB"/>
        </w:rPr>
        <w:t>), LTM processing time for target cell parameters (</w:t>
      </w:r>
      <w:r w:rsidR="001C09DA" w:rsidRPr="00395B1B">
        <w:rPr>
          <w:rFonts w:eastAsia="Malgun Gothic"/>
          <w:sz w:val="22"/>
          <w:szCs w:val="22"/>
          <w:lang w:val="en-GB"/>
        </w:rPr>
        <w:t>T</w:t>
      </w:r>
      <w:r w:rsidR="001C09DA" w:rsidRPr="00395B1B">
        <w:rPr>
          <w:rFonts w:eastAsia="Malgun Gothic"/>
          <w:sz w:val="22"/>
          <w:szCs w:val="22"/>
          <w:vertAlign w:val="subscript"/>
          <w:lang w:val="en-GB"/>
        </w:rPr>
        <w:t>LTM-processing</w:t>
      </w:r>
      <w:r w:rsidR="001C09DA" w:rsidRPr="00395B1B">
        <w:rPr>
          <w:rFonts w:eastAsia="Malgun Gothic" w:cs="v4.2.0"/>
          <w:sz w:val="22"/>
          <w:szCs w:val="22"/>
          <w:lang w:val="en-GB" w:eastAsia="en-GB"/>
        </w:rPr>
        <w:t>), fine time tracking of the target cell (</w:t>
      </w:r>
      <w:r w:rsidR="00CC3DCB" w:rsidRPr="00395B1B">
        <w:rPr>
          <w:rFonts w:eastAsiaTheme="minorEastAsia"/>
          <w:bCs/>
          <w:sz w:val="22"/>
          <w:szCs w:val="22"/>
        </w:rPr>
        <w:t>T</w:t>
      </w:r>
      <w:r w:rsidR="00CC3DCB" w:rsidRPr="00395B1B">
        <w:rPr>
          <w:rFonts w:eastAsiaTheme="minorEastAsia"/>
          <w:bCs/>
          <w:sz w:val="22"/>
          <w:szCs w:val="22"/>
          <w:vertAlign w:val="subscript"/>
        </w:rPr>
        <w:t>first-RS</w:t>
      </w:r>
      <w:r w:rsidR="001C09DA" w:rsidRPr="00395B1B">
        <w:rPr>
          <w:rFonts w:eastAsia="Malgun Gothic" w:cs="v4.2.0"/>
          <w:sz w:val="22"/>
          <w:szCs w:val="22"/>
          <w:lang w:val="en-GB" w:eastAsia="en-GB"/>
        </w:rPr>
        <w:t>), SSB processing time</w:t>
      </w:r>
      <w:r w:rsidR="00CC3DCB" w:rsidRPr="00395B1B">
        <w:rPr>
          <w:rFonts w:eastAsia="Malgun Gothic" w:cs="v4.2.0"/>
          <w:sz w:val="22"/>
          <w:szCs w:val="22"/>
          <w:lang w:val="en-GB" w:eastAsia="en-GB"/>
        </w:rPr>
        <w:t xml:space="preserve"> (</w:t>
      </w:r>
      <w:r w:rsidR="00CC3DCB" w:rsidRPr="00395B1B">
        <w:rPr>
          <w:rFonts w:eastAsiaTheme="minorEastAsia"/>
          <w:sz w:val="22"/>
          <w:szCs w:val="22"/>
        </w:rPr>
        <w:t>T</w:t>
      </w:r>
      <w:r w:rsidR="00CC3DCB" w:rsidRPr="00395B1B">
        <w:rPr>
          <w:rFonts w:eastAsiaTheme="minorEastAsia"/>
          <w:sz w:val="22"/>
          <w:szCs w:val="22"/>
          <w:vertAlign w:val="subscript"/>
        </w:rPr>
        <w:t>RS-proc</w:t>
      </w:r>
      <w:r w:rsidR="00CC3DCB" w:rsidRPr="00395B1B">
        <w:rPr>
          <w:rFonts w:eastAsia="Malgun Gothic" w:cs="v4.2.0"/>
          <w:sz w:val="22"/>
          <w:szCs w:val="22"/>
          <w:lang w:val="en-GB" w:eastAsia="en-GB"/>
        </w:rPr>
        <w:t>)</w:t>
      </w:r>
      <w:r w:rsidR="001C09DA" w:rsidRPr="00395B1B">
        <w:rPr>
          <w:rFonts w:eastAsia="Malgun Gothic" w:cs="v4.2.0"/>
          <w:sz w:val="22"/>
          <w:szCs w:val="22"/>
          <w:lang w:val="en-GB" w:eastAsia="en-GB"/>
        </w:rPr>
        <w:t xml:space="preserve">, </w:t>
      </w:r>
      <w:r w:rsidR="002820BC" w:rsidRPr="00395B1B">
        <w:rPr>
          <w:rFonts w:eastAsia="Malgun Gothic" w:cs="v4.2.0"/>
          <w:sz w:val="22"/>
          <w:szCs w:val="22"/>
          <w:lang w:val="en-GB" w:eastAsia="en-GB"/>
        </w:rPr>
        <w:t xml:space="preserve">and </w:t>
      </w:r>
      <w:r w:rsidR="001C09DA" w:rsidRPr="00395B1B">
        <w:rPr>
          <w:rFonts w:eastAsia="Malgun Gothic" w:cs="v4.2.0"/>
          <w:sz w:val="22"/>
          <w:szCs w:val="22"/>
          <w:lang w:val="en-GB" w:eastAsia="en-GB"/>
        </w:rPr>
        <w:t>LTM interruption uncertainty</w:t>
      </w:r>
      <w:r w:rsidR="002820BC" w:rsidRPr="00395B1B">
        <w:rPr>
          <w:rFonts w:eastAsia="Malgun Gothic" w:cs="v4.2.0"/>
          <w:sz w:val="22"/>
          <w:szCs w:val="22"/>
          <w:lang w:val="en-GB" w:eastAsia="en-GB"/>
        </w:rPr>
        <w:t xml:space="preserve"> (</w:t>
      </w:r>
      <w:r w:rsidR="002820BC" w:rsidRPr="00395B1B">
        <w:rPr>
          <w:rFonts w:eastAsiaTheme="minorEastAsia"/>
          <w:sz w:val="22"/>
          <w:szCs w:val="22"/>
        </w:rPr>
        <w:t>T</w:t>
      </w:r>
      <w:r w:rsidR="002820BC" w:rsidRPr="00395B1B">
        <w:rPr>
          <w:rFonts w:eastAsiaTheme="minorEastAsia"/>
          <w:sz w:val="22"/>
          <w:szCs w:val="22"/>
          <w:vertAlign w:val="subscript"/>
        </w:rPr>
        <w:t>LTM-IU</w:t>
      </w:r>
      <w:r w:rsidR="002820BC" w:rsidRPr="00395B1B">
        <w:rPr>
          <w:rFonts w:eastAsia="Malgun Gothic" w:cs="v4.2.0"/>
          <w:sz w:val="22"/>
          <w:szCs w:val="22"/>
          <w:lang w:val="en-GB" w:eastAsia="en-GB"/>
        </w:rPr>
        <w:t>)</w:t>
      </w:r>
      <w:r w:rsidR="001C09DA" w:rsidRPr="00395B1B">
        <w:rPr>
          <w:rFonts w:eastAsia="Malgun Gothic" w:cs="v4.2.0"/>
          <w:sz w:val="22"/>
          <w:szCs w:val="22"/>
          <w:lang w:val="en-GB" w:eastAsia="en-GB"/>
        </w:rPr>
        <w:t xml:space="preserve">. </w:t>
      </w:r>
    </w:p>
    <w:p w14:paraId="01FF897E" w14:textId="720F4024" w:rsidR="00692004" w:rsidRPr="00395B1B" w:rsidRDefault="00692004" w:rsidP="00395B1B">
      <w:pPr>
        <w:spacing w:after="240"/>
        <w:rPr>
          <w:rFonts w:cs="Arial"/>
          <w:noProof/>
          <w:sz w:val="22"/>
          <w:szCs w:val="22"/>
          <w:lang w:val="en-GB" w:eastAsia="en-GB"/>
        </w:rPr>
      </w:pPr>
      <w:r w:rsidRPr="00395B1B">
        <w:rPr>
          <w:rFonts w:eastAsia="Malgun Gothic" w:cs="v4.2.0"/>
          <w:sz w:val="22"/>
          <w:szCs w:val="22"/>
          <w:lang w:val="en-GB" w:eastAsia="en-GB"/>
        </w:rPr>
        <w:t xml:space="preserve">According to the RAN4 agreement, the </w:t>
      </w:r>
      <w:r w:rsidRPr="00395B1B">
        <w:rPr>
          <w:rFonts w:cs="Arial"/>
          <w:noProof/>
          <w:sz w:val="22"/>
          <w:szCs w:val="22"/>
          <w:lang w:val="en-GB" w:eastAsia="en-GB"/>
        </w:rPr>
        <w:t>UE processing delay (T</w:t>
      </w:r>
      <w:r w:rsidRPr="00395B1B">
        <w:rPr>
          <w:rFonts w:cs="Arial"/>
          <w:noProof/>
          <w:sz w:val="22"/>
          <w:szCs w:val="22"/>
          <w:vertAlign w:val="subscript"/>
          <w:lang w:val="en-GB" w:eastAsia="en-GB"/>
        </w:rPr>
        <w:t>LBCA</w:t>
      </w:r>
      <w:r w:rsidRPr="00395B1B">
        <w:rPr>
          <w:rFonts w:cs="Arial"/>
          <w:noProof/>
          <w:sz w:val="22"/>
          <w:szCs w:val="22"/>
          <w:lang w:val="en-GB" w:eastAsia="en-GB"/>
        </w:rPr>
        <w:t xml:space="preserve">) for deactivating the </w:t>
      </w:r>
      <w:r w:rsidR="00A45C02" w:rsidRPr="00395B1B">
        <w:rPr>
          <w:rFonts w:cs="Arial"/>
          <w:noProof/>
          <w:sz w:val="22"/>
          <w:szCs w:val="22"/>
          <w:lang w:val="en-GB" w:eastAsia="en-GB"/>
        </w:rPr>
        <w:t>switching pattern</w:t>
      </w:r>
      <w:r w:rsidR="00A45C02" w:rsidRPr="00395B1B">
        <w:rPr>
          <w:rFonts w:cs="Arial"/>
          <w:i/>
          <w:iCs/>
          <w:noProof/>
          <w:sz w:val="22"/>
          <w:szCs w:val="22"/>
          <w:lang w:val="en-GB" w:eastAsia="en-GB"/>
        </w:rPr>
        <w:t xml:space="preserve"> </w:t>
      </w:r>
      <w:r w:rsidR="00A45C02" w:rsidRPr="00395B1B">
        <w:rPr>
          <w:rFonts w:cs="Arial"/>
          <w:noProof/>
          <w:sz w:val="22"/>
          <w:szCs w:val="22"/>
          <w:lang w:val="en-GB" w:eastAsia="en-GB"/>
        </w:rPr>
        <w:t xml:space="preserve">in Rel-19 </w:t>
      </w:r>
      <w:r w:rsidRPr="00395B1B">
        <w:rPr>
          <w:rFonts w:cs="Arial"/>
          <w:noProof/>
          <w:sz w:val="22"/>
          <w:szCs w:val="22"/>
          <w:lang w:val="en-GB" w:eastAsia="en-GB"/>
        </w:rPr>
        <w:t xml:space="preserve">is 1 ms as captured in SCell deactivation delay requirements (e.g., clause 8.8.3 of TS 38.133). </w:t>
      </w:r>
    </w:p>
    <w:p w14:paraId="699B0D09" w14:textId="63CE73EC" w:rsidR="00A45C02" w:rsidRPr="00395B1B" w:rsidRDefault="00930E47" w:rsidP="00395B1B">
      <w:pPr>
        <w:spacing w:after="240"/>
        <w:rPr>
          <w:rFonts w:cs="Arial"/>
          <w:noProof/>
          <w:sz w:val="22"/>
          <w:szCs w:val="22"/>
          <w:lang w:val="en-GB" w:eastAsia="en-GB"/>
        </w:rPr>
      </w:pPr>
      <w:r>
        <w:rPr>
          <w:rFonts w:cs="Arial"/>
          <w:noProof/>
          <w:sz w:val="22"/>
          <w:szCs w:val="22"/>
          <w:lang w:val="en-GB" w:eastAsia="en-GB"/>
        </w:rPr>
        <w:t xml:space="preserve">Furthermore, in Rel-20 it has been agreed to use the same value of </w:t>
      </w:r>
      <w:r w:rsidRPr="00930E47">
        <w:rPr>
          <w:rFonts w:cs="Arial"/>
          <w:noProof/>
          <w:sz w:val="22"/>
          <w:szCs w:val="22"/>
          <w:lang w:val="en-GB" w:eastAsia="en-GB"/>
        </w:rPr>
        <w:t>T</w:t>
      </w:r>
      <w:r w:rsidRPr="00930E47">
        <w:rPr>
          <w:rFonts w:cs="Arial"/>
          <w:noProof/>
          <w:sz w:val="22"/>
          <w:szCs w:val="22"/>
          <w:vertAlign w:val="subscript"/>
          <w:lang w:val="en-GB" w:eastAsia="en-GB"/>
        </w:rPr>
        <w:t>LBCA</w:t>
      </w:r>
      <w:r w:rsidRPr="00930E47">
        <w:rPr>
          <w:rFonts w:cs="Arial"/>
          <w:noProof/>
          <w:sz w:val="22"/>
          <w:szCs w:val="22"/>
          <w:lang w:val="en-GB" w:eastAsia="en-GB"/>
        </w:rPr>
        <w:t xml:space="preserve"> </w:t>
      </w:r>
      <w:r>
        <w:rPr>
          <w:rFonts w:cs="Arial"/>
          <w:noProof/>
          <w:sz w:val="22"/>
          <w:szCs w:val="22"/>
          <w:lang w:val="en-GB" w:eastAsia="en-GB"/>
        </w:rPr>
        <w:t>as defined in Rel-19</w:t>
      </w:r>
      <w:r w:rsidR="00070C91">
        <w:rPr>
          <w:rFonts w:cs="Arial"/>
          <w:noProof/>
          <w:sz w:val="22"/>
          <w:szCs w:val="22"/>
          <w:lang w:val="en-GB" w:eastAsia="en-GB"/>
        </w:rPr>
        <w:t xml:space="preserve"> as captured in RAN4 WF [1]:</w:t>
      </w:r>
    </w:p>
    <w:p w14:paraId="785367EA" w14:textId="77777777" w:rsidR="00A45C02" w:rsidRPr="00395B1B" w:rsidRDefault="00A45C02" w:rsidP="00070C91">
      <w:pPr>
        <w:spacing w:after="120"/>
        <w:rPr>
          <w:rFonts w:cs="Arial"/>
          <w:b/>
          <w:noProof/>
          <w:sz w:val="22"/>
          <w:szCs w:val="22"/>
          <w:u w:val="single"/>
          <w:lang w:val="sv-SE" w:eastAsia="en-GB"/>
        </w:rPr>
      </w:pPr>
      <w:r w:rsidRPr="00395B1B">
        <w:rPr>
          <w:rFonts w:cs="Arial"/>
          <w:noProof/>
          <w:sz w:val="22"/>
          <w:szCs w:val="22"/>
          <w:lang w:val="sv-SE" w:eastAsia="en-GB"/>
        </w:rPr>
        <w:t>Issue 1-2-2: Application time of switching pattern in SCell activation/deactivation</w:t>
      </w:r>
    </w:p>
    <w:tbl>
      <w:tblPr>
        <w:tblStyle w:val="TableGrid"/>
        <w:tblW w:w="0" w:type="auto"/>
        <w:tblLook w:val="04A0" w:firstRow="1" w:lastRow="0" w:firstColumn="1" w:lastColumn="0" w:noHBand="0" w:noVBand="1"/>
      </w:tblPr>
      <w:tblGrid>
        <w:gridCol w:w="9629"/>
      </w:tblGrid>
      <w:tr w:rsidR="00A45C02" w14:paraId="7570B4BB" w14:textId="77777777" w:rsidTr="00070C91">
        <w:tc>
          <w:tcPr>
            <w:tcW w:w="9629" w:type="dxa"/>
            <w:tcBorders>
              <w:top w:val="single" w:sz="4" w:space="0" w:color="auto"/>
              <w:left w:val="single" w:sz="4" w:space="0" w:color="auto"/>
              <w:bottom w:val="single" w:sz="4" w:space="0" w:color="auto"/>
              <w:right w:val="single" w:sz="4" w:space="0" w:color="auto"/>
            </w:tcBorders>
          </w:tcPr>
          <w:p w14:paraId="3DBEAE2A" w14:textId="77777777" w:rsidR="00A45C02" w:rsidRDefault="00A45C02">
            <w:pPr>
              <w:textAlignment w:val="baseline"/>
              <w:rPr>
                <w:b/>
                <w:bCs/>
                <w:color w:val="0070C0"/>
                <w:sz w:val="21"/>
                <w:szCs w:val="21"/>
                <w:u w:val="single"/>
                <w:lang w:eastAsia="ko-KR"/>
              </w:rPr>
            </w:pPr>
            <w:r>
              <w:rPr>
                <w:b/>
                <w:bCs/>
                <w:color w:val="0070C0"/>
                <w:sz w:val="21"/>
                <w:szCs w:val="21"/>
                <w:u w:val="single"/>
                <w:lang w:eastAsia="ko-KR"/>
              </w:rPr>
              <w:t>Tuesday online</w:t>
            </w:r>
          </w:p>
          <w:p w14:paraId="572C6955" w14:textId="77777777" w:rsidR="00A45C02" w:rsidRDefault="00A45C02">
            <w:pPr>
              <w:overflowPunct w:val="0"/>
              <w:autoSpaceDE w:val="0"/>
              <w:autoSpaceDN w:val="0"/>
              <w:adjustRightInd w:val="0"/>
              <w:spacing w:after="180"/>
              <w:textAlignment w:val="baseline"/>
              <w:rPr>
                <w:b/>
                <w:bCs/>
                <w:color w:val="0070C0"/>
                <w:sz w:val="21"/>
                <w:szCs w:val="21"/>
                <w:u w:val="single"/>
                <w:lang w:eastAsia="ko-KR"/>
              </w:rPr>
            </w:pPr>
          </w:p>
          <w:p w14:paraId="5DD1C72E" w14:textId="77777777" w:rsidR="00A45C02" w:rsidRDefault="00A45C02">
            <w:pPr>
              <w:snapToGrid w:val="0"/>
              <w:spacing w:after="120"/>
              <w:jc w:val="both"/>
              <w:textAlignment w:val="baseline"/>
              <w:rPr>
                <w:rFonts w:eastAsia="DengXian"/>
                <w:sz w:val="21"/>
                <w:szCs w:val="21"/>
                <w:highlight w:val="green"/>
              </w:rPr>
            </w:pPr>
            <w:r>
              <w:rPr>
                <w:rFonts w:eastAsia="DengXian"/>
                <w:sz w:val="21"/>
                <w:szCs w:val="21"/>
                <w:highlight w:val="green"/>
              </w:rPr>
              <w:t>Agreement:</w:t>
            </w:r>
          </w:p>
          <w:p w14:paraId="53D31FBA" w14:textId="77777777" w:rsidR="00A45C02" w:rsidRDefault="00A45C02" w:rsidP="00A45C02">
            <w:pPr>
              <w:widowControl w:val="0"/>
              <w:numPr>
                <w:ilvl w:val="1"/>
                <w:numId w:val="230"/>
              </w:numPr>
              <w:autoSpaceDN w:val="0"/>
              <w:snapToGrid w:val="0"/>
              <w:spacing w:after="120"/>
              <w:jc w:val="both"/>
              <w:textAlignment w:val="baseline"/>
              <w:rPr>
                <w:rFonts w:eastAsia="Malgun Gothic"/>
                <w:sz w:val="21"/>
                <w:szCs w:val="21"/>
                <w:highlight w:val="green"/>
                <w:lang w:eastAsia="ko-KR"/>
              </w:rPr>
            </w:pPr>
            <w:r>
              <w:rPr>
                <w:rFonts w:eastAsia="Malgun Gothic"/>
                <w:b/>
                <w:bCs/>
                <w:sz w:val="21"/>
                <w:szCs w:val="21"/>
                <w:highlight w:val="green"/>
                <w:lang w:eastAsia="ko-KR"/>
              </w:rPr>
              <w:t xml:space="preserve">The application time of </w:t>
            </w:r>
            <w:r>
              <w:rPr>
                <w:rFonts w:eastAsia="Malgun Gothic"/>
                <w:b/>
                <w:bCs/>
                <w:sz w:val="21"/>
                <w:szCs w:val="21"/>
                <w:highlight w:val="green"/>
              </w:rPr>
              <w:t>enabling/disabling switching pattern</w:t>
            </w:r>
            <w:r>
              <w:rPr>
                <w:rFonts w:eastAsia="Malgun Gothic"/>
                <w:sz w:val="21"/>
                <w:szCs w:val="21"/>
                <w:highlight w:val="green"/>
                <w:lang w:eastAsia="ko-KR"/>
              </w:rPr>
              <w:t xml:space="preserve"> including T</w:t>
            </w:r>
            <w:r>
              <w:rPr>
                <w:rFonts w:eastAsia="Malgun Gothic"/>
                <w:sz w:val="21"/>
                <w:szCs w:val="21"/>
                <w:highlight w:val="green"/>
                <w:vertAlign w:val="subscript"/>
                <w:lang w:eastAsia="ko-KR"/>
              </w:rPr>
              <w:t>LBCA</w:t>
            </w:r>
            <w:r>
              <w:rPr>
                <w:rFonts w:eastAsia="Malgun Gothic"/>
                <w:sz w:val="21"/>
                <w:szCs w:val="21"/>
                <w:highlight w:val="green"/>
                <w:lang w:eastAsia="ko-KR"/>
              </w:rPr>
              <w:t xml:space="preserve"> for the SCell which is in activation</w:t>
            </w:r>
            <w:r>
              <w:rPr>
                <w:rFonts w:eastAsia="Malgun Gothic"/>
                <w:sz w:val="21"/>
                <w:szCs w:val="21"/>
                <w:highlight w:val="green"/>
              </w:rPr>
              <w:t>/deactivation</w:t>
            </w:r>
            <w:r>
              <w:rPr>
                <w:rFonts w:eastAsia="Malgun Gothic"/>
                <w:sz w:val="21"/>
                <w:szCs w:val="21"/>
                <w:highlight w:val="green"/>
                <w:lang w:eastAsia="ko-KR"/>
              </w:rPr>
              <w:t xml:space="preserve"> procedure defined in Rel-19 can be reused, containing </w:t>
            </w:r>
          </w:p>
          <w:p w14:paraId="6575119D"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lang w:eastAsia="ko-KR"/>
              </w:rPr>
            </w:pPr>
            <w:r>
              <w:rPr>
                <w:rFonts w:eastAsia="Malgun Gothic"/>
                <w:sz w:val="21"/>
                <w:szCs w:val="21"/>
                <w:highlight w:val="green"/>
              </w:rPr>
              <w:t>MAC CE based SCell activation/</w:t>
            </w:r>
            <w:r>
              <w:rPr>
                <w:rFonts w:eastAsia="Malgun Gothic"/>
                <w:sz w:val="21"/>
                <w:szCs w:val="21"/>
                <w:highlight w:val="green"/>
                <w:u w:val="single"/>
              </w:rPr>
              <w:t>deactivation</w:t>
            </w:r>
          </w:p>
          <w:p w14:paraId="57319537"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lang w:eastAsia="ko-KR"/>
              </w:rPr>
            </w:pPr>
            <w:r>
              <w:rPr>
                <w:rFonts w:eastAsia="Malgun Gothic"/>
                <w:bCs/>
                <w:sz w:val="21"/>
                <w:szCs w:val="21"/>
                <w:highlight w:val="green"/>
              </w:rPr>
              <w:t>RRC based direct SCell activation</w:t>
            </w:r>
          </w:p>
          <w:p w14:paraId="24364F60"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lang w:eastAsia="ko-KR"/>
              </w:rPr>
            </w:pPr>
            <w:r>
              <w:rPr>
                <w:rFonts w:eastAsia="Malgun Gothic"/>
                <w:sz w:val="21"/>
                <w:szCs w:val="21"/>
                <w:highlight w:val="green"/>
              </w:rPr>
              <w:t>timer triggered SCell deactivation</w:t>
            </w:r>
          </w:p>
          <w:p w14:paraId="528FDB08" w14:textId="77777777" w:rsidR="00A45C02" w:rsidRDefault="00A45C02" w:rsidP="00A45C02">
            <w:pPr>
              <w:widowControl w:val="0"/>
              <w:numPr>
                <w:ilvl w:val="1"/>
                <w:numId w:val="230"/>
              </w:numPr>
              <w:autoSpaceDN w:val="0"/>
              <w:snapToGrid w:val="0"/>
              <w:spacing w:after="120"/>
              <w:jc w:val="both"/>
              <w:textAlignment w:val="baseline"/>
              <w:rPr>
                <w:rFonts w:eastAsia="Malgun Gothic"/>
                <w:sz w:val="21"/>
                <w:szCs w:val="21"/>
                <w:highlight w:val="green"/>
                <w:lang w:eastAsia="ko-KR"/>
              </w:rPr>
            </w:pPr>
            <w:r>
              <w:rPr>
                <w:rFonts w:eastAsia="Malgun Gothic"/>
                <w:sz w:val="21"/>
                <w:szCs w:val="21"/>
                <w:highlight w:val="green"/>
                <w:lang w:eastAsia="ko-KR"/>
              </w:rPr>
              <w:t>For CQI/L1-RSRP reporting during SDL SCell activation in LB-CA requirement.</w:t>
            </w:r>
          </w:p>
          <w:p w14:paraId="73D2B4D8" w14:textId="77777777" w:rsidR="00A45C02" w:rsidRDefault="00A45C02" w:rsidP="00A45C02">
            <w:pPr>
              <w:widowControl w:val="0"/>
              <w:numPr>
                <w:ilvl w:val="2"/>
                <w:numId w:val="230"/>
              </w:numPr>
              <w:autoSpaceDN w:val="0"/>
              <w:snapToGrid w:val="0"/>
              <w:spacing w:after="120"/>
              <w:jc w:val="both"/>
              <w:textAlignment w:val="baseline"/>
              <w:rPr>
                <w:rFonts w:eastAsia="Malgun Gothic"/>
                <w:sz w:val="21"/>
                <w:szCs w:val="21"/>
                <w:highlight w:val="green"/>
              </w:rPr>
            </w:pPr>
            <w:r>
              <w:rPr>
                <w:rFonts w:eastAsia="Malgun Gothic"/>
                <w:sz w:val="21"/>
                <w:szCs w:val="21"/>
                <w:highlight w:val="green"/>
              </w:rPr>
              <w:t>The issue can be closed (without any additional clarification or spec change in RAN4)</w:t>
            </w:r>
          </w:p>
        </w:tc>
      </w:tr>
    </w:tbl>
    <w:p w14:paraId="70F7A6C5" w14:textId="12BC63C7" w:rsidR="00672EA3" w:rsidRPr="00070C91" w:rsidRDefault="00692004" w:rsidP="00070C91">
      <w:pPr>
        <w:spacing w:before="240" w:after="240"/>
        <w:rPr>
          <w:rFonts w:eastAsia="Malgun Gothic"/>
          <w:sz w:val="22"/>
          <w:szCs w:val="22"/>
          <w:lang w:val="en-GB" w:eastAsia="en-GB"/>
        </w:rPr>
      </w:pPr>
      <w:r w:rsidRPr="00070C91">
        <w:rPr>
          <w:rFonts w:eastAsia="Malgun Gothic" w:cs="v4.2.0"/>
          <w:sz w:val="22"/>
          <w:szCs w:val="22"/>
          <w:lang w:val="en-GB" w:eastAsia="en-GB"/>
        </w:rPr>
        <w:t xml:space="preserve">Therefore, </w:t>
      </w:r>
      <w:r w:rsidR="00B457EA" w:rsidRPr="00070C91">
        <w:rPr>
          <w:rFonts w:eastAsia="Malgun Gothic" w:cs="v4.2.0"/>
          <w:sz w:val="22"/>
          <w:szCs w:val="22"/>
          <w:lang w:val="en-GB" w:eastAsia="en-GB"/>
        </w:rPr>
        <w:t xml:space="preserve">the </w:t>
      </w:r>
      <w:r w:rsidR="00B457EA" w:rsidRPr="00070C91">
        <w:rPr>
          <w:rFonts w:cs="Arial"/>
          <w:noProof/>
          <w:sz w:val="22"/>
          <w:szCs w:val="22"/>
          <w:lang w:val="en-GB" w:eastAsia="en-GB"/>
        </w:rPr>
        <w:t>UE processing delay (T</w:t>
      </w:r>
      <w:r w:rsidR="00B457EA" w:rsidRPr="00070C91">
        <w:rPr>
          <w:rFonts w:cs="Arial"/>
          <w:noProof/>
          <w:sz w:val="22"/>
          <w:szCs w:val="22"/>
          <w:vertAlign w:val="subscript"/>
          <w:lang w:val="en-GB" w:eastAsia="en-GB"/>
        </w:rPr>
        <w:t>LBCA</w:t>
      </w:r>
      <w:r w:rsidR="00B457EA" w:rsidRPr="00070C91">
        <w:rPr>
          <w:rFonts w:cs="Arial"/>
          <w:noProof/>
          <w:sz w:val="22"/>
          <w:szCs w:val="22"/>
          <w:lang w:val="en-GB" w:eastAsia="en-GB"/>
        </w:rPr>
        <w:t xml:space="preserve">=1 ms) for deactivating the </w:t>
      </w:r>
      <w:r w:rsidR="00070C91" w:rsidRPr="00070C91">
        <w:rPr>
          <w:rFonts w:cs="Arial"/>
          <w:noProof/>
          <w:sz w:val="22"/>
          <w:szCs w:val="22"/>
          <w:lang w:val="en-GB" w:eastAsia="en-GB"/>
        </w:rPr>
        <w:t>switching pattern</w:t>
      </w:r>
      <w:r w:rsidR="00070C91" w:rsidRPr="00070C91">
        <w:rPr>
          <w:rFonts w:cs="Arial"/>
          <w:i/>
          <w:iCs/>
          <w:noProof/>
          <w:sz w:val="22"/>
          <w:szCs w:val="22"/>
          <w:lang w:val="en-GB" w:eastAsia="en-GB"/>
        </w:rPr>
        <w:t xml:space="preserve"> </w:t>
      </w:r>
      <w:r w:rsidR="00B457EA" w:rsidRPr="00070C91">
        <w:rPr>
          <w:rFonts w:cs="Arial"/>
          <w:noProof/>
          <w:sz w:val="22"/>
          <w:szCs w:val="22"/>
          <w:lang w:val="en-GB" w:eastAsia="en-GB"/>
        </w:rPr>
        <w:t xml:space="preserve">should be included </w:t>
      </w:r>
      <w:r w:rsidR="00776058" w:rsidRPr="00070C91">
        <w:rPr>
          <w:rFonts w:cs="Arial"/>
          <w:noProof/>
          <w:sz w:val="22"/>
          <w:szCs w:val="22"/>
          <w:lang w:val="en-GB" w:eastAsia="en-GB"/>
        </w:rPr>
        <w:t xml:space="preserve">in the </w:t>
      </w:r>
      <w:r w:rsidR="00776058" w:rsidRPr="00070C91">
        <w:rPr>
          <w:rFonts w:eastAsia="Malgun Gothic" w:cs="v4.2.0"/>
          <w:sz w:val="22"/>
          <w:szCs w:val="22"/>
          <w:lang w:val="en-GB" w:eastAsia="en-GB"/>
        </w:rPr>
        <w:t>LTM cell switch delay (D</w:t>
      </w:r>
      <w:r w:rsidR="00776058" w:rsidRPr="00070C91">
        <w:rPr>
          <w:rFonts w:eastAsia="Malgun Gothic" w:cs="v4.2.0"/>
          <w:sz w:val="22"/>
          <w:szCs w:val="22"/>
          <w:vertAlign w:val="subscript"/>
          <w:lang w:val="en-GB" w:eastAsia="en-GB"/>
        </w:rPr>
        <w:t>LTM</w:t>
      </w:r>
      <w:r w:rsidR="00776058" w:rsidRPr="00070C91">
        <w:rPr>
          <w:rFonts w:eastAsia="Malgun Gothic" w:cs="v4.2.0"/>
          <w:sz w:val="22"/>
          <w:szCs w:val="22"/>
          <w:lang w:val="en-GB" w:eastAsia="en-GB"/>
        </w:rPr>
        <w:t>) and preferably with</w:t>
      </w:r>
      <w:r w:rsidR="00B457EA" w:rsidRPr="00070C91">
        <w:rPr>
          <w:rFonts w:cs="Arial"/>
          <w:noProof/>
          <w:sz w:val="22"/>
          <w:szCs w:val="22"/>
          <w:lang w:val="en-GB" w:eastAsia="en-GB"/>
        </w:rPr>
        <w:t>in</w:t>
      </w:r>
      <w:r w:rsidR="00052FA3" w:rsidRPr="00070C91">
        <w:rPr>
          <w:rFonts w:eastAsia="Malgun Gothic"/>
          <w:sz w:val="22"/>
          <w:szCs w:val="22"/>
          <w:lang w:val="en-GB" w:eastAsia="en-GB"/>
        </w:rPr>
        <w:t xml:space="preserve"> T</w:t>
      </w:r>
      <w:r w:rsidR="00052FA3" w:rsidRPr="00070C91">
        <w:rPr>
          <w:rFonts w:eastAsia="Malgun Gothic"/>
          <w:sz w:val="22"/>
          <w:szCs w:val="22"/>
          <w:vertAlign w:val="subscript"/>
          <w:lang w:val="en-GB" w:eastAsia="en-GB"/>
        </w:rPr>
        <w:t>cmd</w:t>
      </w:r>
      <w:r w:rsidR="00776058" w:rsidRPr="00070C91">
        <w:rPr>
          <w:rFonts w:eastAsia="Malgun Gothic"/>
          <w:sz w:val="22"/>
          <w:szCs w:val="22"/>
          <w:lang w:val="en-GB" w:eastAsia="en-GB"/>
        </w:rPr>
        <w:t xml:space="preserve">. </w:t>
      </w:r>
    </w:p>
    <w:p w14:paraId="58F20F90" w14:textId="0F210D29" w:rsidR="002E18FB" w:rsidRPr="008F1176" w:rsidRDefault="002E18FB" w:rsidP="00070C91">
      <w:pPr>
        <w:pStyle w:val="ListParagraph"/>
        <w:numPr>
          <w:ilvl w:val="0"/>
          <w:numId w:val="228"/>
        </w:numPr>
        <w:spacing w:after="240"/>
        <w:rPr>
          <w:sz w:val="22"/>
          <w:szCs w:val="22"/>
        </w:rPr>
      </w:pPr>
      <w:r w:rsidRPr="00070C91">
        <w:rPr>
          <w:b/>
          <w:bCs/>
          <w:i/>
          <w:iCs/>
          <w:sz w:val="22"/>
          <w:szCs w:val="22"/>
        </w:rPr>
        <w:t xml:space="preserve">Observation </w:t>
      </w:r>
      <w:r w:rsidR="005E2A5F" w:rsidRPr="00070C91">
        <w:rPr>
          <w:b/>
          <w:bCs/>
          <w:i/>
          <w:iCs/>
          <w:sz w:val="22"/>
          <w:szCs w:val="22"/>
        </w:rPr>
        <w:t>3</w:t>
      </w:r>
      <w:r w:rsidRPr="00070C91">
        <w:rPr>
          <w:b/>
          <w:bCs/>
          <w:i/>
          <w:iCs/>
          <w:sz w:val="22"/>
          <w:szCs w:val="22"/>
        </w:rPr>
        <w:t xml:space="preserve">: </w:t>
      </w:r>
      <w:r w:rsidR="00991B81" w:rsidRPr="00070C91">
        <w:rPr>
          <w:b/>
          <w:bCs/>
          <w:i/>
          <w:iCs/>
          <w:sz w:val="22"/>
          <w:szCs w:val="22"/>
        </w:rPr>
        <w:t>A</w:t>
      </w:r>
      <w:r w:rsidR="00991B81" w:rsidRPr="00070C91">
        <w:rPr>
          <w:sz w:val="22"/>
          <w:szCs w:val="22"/>
        </w:rPr>
        <w:t xml:space="preserve"> </w:t>
      </w:r>
      <w:r w:rsidR="00991B81" w:rsidRPr="00070C91">
        <w:rPr>
          <w:b/>
          <w:bCs/>
          <w:i/>
          <w:iCs/>
          <w:sz w:val="22"/>
          <w:szCs w:val="22"/>
        </w:rPr>
        <w:t xml:space="preserve">UE configured with a switching pattern will have to deactivate the switching pattern (if configured) </w:t>
      </w:r>
      <w:r w:rsidR="007A76F0" w:rsidRPr="00070C91">
        <w:rPr>
          <w:b/>
          <w:bCs/>
          <w:i/>
          <w:iCs/>
          <w:sz w:val="22"/>
          <w:szCs w:val="22"/>
        </w:rPr>
        <w:t xml:space="preserve">after processing the MAC-CE cell switch command and </w:t>
      </w:r>
      <w:r w:rsidR="00991B81" w:rsidRPr="00070C91">
        <w:rPr>
          <w:b/>
          <w:bCs/>
          <w:i/>
          <w:iCs/>
          <w:sz w:val="22"/>
          <w:szCs w:val="22"/>
        </w:rPr>
        <w:t xml:space="preserve">before </w:t>
      </w:r>
      <w:r w:rsidR="007A76F0" w:rsidRPr="00070C91">
        <w:rPr>
          <w:b/>
          <w:bCs/>
          <w:i/>
          <w:iCs/>
          <w:sz w:val="22"/>
          <w:szCs w:val="22"/>
        </w:rPr>
        <w:t xml:space="preserve">initiaing the </w:t>
      </w:r>
      <w:r w:rsidR="00991B81" w:rsidRPr="00070C91">
        <w:rPr>
          <w:b/>
          <w:bCs/>
          <w:i/>
          <w:iCs/>
          <w:sz w:val="22"/>
          <w:szCs w:val="22"/>
        </w:rPr>
        <w:t xml:space="preserve">necessary tasks for completing the LTM cell switch. </w:t>
      </w:r>
    </w:p>
    <w:p w14:paraId="425115F0" w14:textId="5E850644" w:rsidR="008F1176" w:rsidRPr="008F1176" w:rsidRDefault="008F1176" w:rsidP="008F1176">
      <w:pPr>
        <w:pStyle w:val="ListParagraph"/>
        <w:numPr>
          <w:ilvl w:val="0"/>
          <w:numId w:val="228"/>
        </w:numPr>
        <w:spacing w:after="240"/>
        <w:rPr>
          <w:b/>
          <w:bCs/>
          <w:i/>
          <w:iCs/>
          <w:sz w:val="22"/>
          <w:szCs w:val="22"/>
        </w:rPr>
      </w:pPr>
      <w:r w:rsidRPr="00070C91">
        <w:rPr>
          <w:b/>
          <w:bCs/>
          <w:i/>
          <w:iCs/>
          <w:sz w:val="22"/>
          <w:szCs w:val="22"/>
        </w:rPr>
        <w:t xml:space="preserve">Proposal 1: LTM cell switch </w:t>
      </w:r>
      <w:r>
        <w:rPr>
          <w:b/>
          <w:bCs/>
          <w:i/>
          <w:iCs/>
          <w:sz w:val="22"/>
          <w:szCs w:val="22"/>
        </w:rPr>
        <w:t xml:space="preserve">related RRM core requirements are supported </w:t>
      </w:r>
      <w:r w:rsidR="00BD4CEF">
        <w:rPr>
          <w:b/>
          <w:bCs/>
          <w:i/>
          <w:iCs/>
          <w:sz w:val="22"/>
          <w:szCs w:val="22"/>
        </w:rPr>
        <w:t xml:space="preserve">for </w:t>
      </w:r>
      <w:r>
        <w:rPr>
          <w:b/>
          <w:bCs/>
          <w:i/>
          <w:iCs/>
          <w:sz w:val="22"/>
          <w:szCs w:val="22"/>
        </w:rPr>
        <w:t xml:space="preserve">Rel-20 </w:t>
      </w:r>
      <w:r w:rsidRPr="00996FB3">
        <w:rPr>
          <w:b/>
          <w:bCs/>
          <w:i/>
          <w:iCs/>
          <w:sz w:val="22"/>
          <w:szCs w:val="22"/>
        </w:rPr>
        <w:t>low band CA via switching</w:t>
      </w:r>
      <w:r>
        <w:rPr>
          <w:b/>
          <w:bCs/>
          <w:i/>
          <w:iCs/>
          <w:sz w:val="22"/>
          <w:szCs w:val="22"/>
        </w:rPr>
        <w:t>.</w:t>
      </w:r>
    </w:p>
    <w:p w14:paraId="374805F0" w14:textId="4287D0F6" w:rsidR="002E18FB" w:rsidRPr="00070C91" w:rsidRDefault="002E18FB" w:rsidP="00070C91">
      <w:pPr>
        <w:pStyle w:val="ListParagraph"/>
        <w:numPr>
          <w:ilvl w:val="0"/>
          <w:numId w:val="228"/>
        </w:numPr>
        <w:spacing w:after="240"/>
        <w:rPr>
          <w:b/>
          <w:bCs/>
          <w:i/>
          <w:iCs/>
          <w:sz w:val="22"/>
          <w:szCs w:val="22"/>
        </w:rPr>
      </w:pPr>
      <w:r w:rsidRPr="00070C91">
        <w:rPr>
          <w:b/>
          <w:bCs/>
          <w:i/>
          <w:iCs/>
          <w:sz w:val="22"/>
          <w:szCs w:val="22"/>
        </w:rPr>
        <w:t xml:space="preserve">Proposal </w:t>
      </w:r>
      <w:r w:rsidR="008F1176">
        <w:rPr>
          <w:b/>
          <w:bCs/>
          <w:i/>
          <w:iCs/>
          <w:sz w:val="22"/>
          <w:szCs w:val="22"/>
        </w:rPr>
        <w:t>2</w:t>
      </w:r>
      <w:r w:rsidRPr="00070C91">
        <w:rPr>
          <w:b/>
          <w:bCs/>
          <w:i/>
          <w:iCs/>
          <w:sz w:val="22"/>
          <w:szCs w:val="22"/>
        </w:rPr>
        <w:t>: I</w:t>
      </w:r>
      <w:r w:rsidR="00CC7F74" w:rsidRPr="00070C91">
        <w:rPr>
          <w:b/>
          <w:bCs/>
          <w:i/>
          <w:iCs/>
          <w:sz w:val="22"/>
          <w:szCs w:val="22"/>
        </w:rPr>
        <w:t>nclude the UE processing delay (T</w:t>
      </w:r>
      <w:r w:rsidR="00CC7F74" w:rsidRPr="00070C91">
        <w:rPr>
          <w:b/>
          <w:bCs/>
          <w:i/>
          <w:iCs/>
          <w:sz w:val="22"/>
          <w:szCs w:val="22"/>
          <w:vertAlign w:val="subscript"/>
        </w:rPr>
        <w:t>LBCA</w:t>
      </w:r>
      <w:r w:rsidR="00CC7F74" w:rsidRPr="00070C91">
        <w:rPr>
          <w:b/>
          <w:bCs/>
          <w:i/>
          <w:iCs/>
          <w:sz w:val="22"/>
          <w:szCs w:val="22"/>
        </w:rPr>
        <w:t>=1 ms) for deactivating the switchingPattern</w:t>
      </w:r>
      <w:r w:rsidR="00070C91">
        <w:rPr>
          <w:b/>
          <w:bCs/>
          <w:i/>
          <w:iCs/>
          <w:sz w:val="22"/>
          <w:szCs w:val="22"/>
        </w:rPr>
        <w:t xml:space="preserve"> </w:t>
      </w:r>
      <w:r w:rsidR="00CC7F74" w:rsidRPr="00070C91">
        <w:rPr>
          <w:b/>
          <w:bCs/>
          <w:i/>
          <w:iCs/>
          <w:sz w:val="22"/>
          <w:szCs w:val="22"/>
        </w:rPr>
        <w:t>within Tcmd of the LTM cell switch delay (D</w:t>
      </w:r>
      <w:r w:rsidR="00CC7F74" w:rsidRPr="00070C91">
        <w:rPr>
          <w:b/>
          <w:bCs/>
          <w:i/>
          <w:iCs/>
          <w:sz w:val="22"/>
          <w:szCs w:val="22"/>
          <w:vertAlign w:val="subscript"/>
        </w:rPr>
        <w:t>LTM</w:t>
      </w:r>
      <w:r w:rsidR="00CC7F74" w:rsidRPr="00070C91">
        <w:rPr>
          <w:b/>
          <w:bCs/>
          <w:i/>
          <w:iCs/>
          <w:sz w:val="22"/>
          <w:szCs w:val="22"/>
        </w:rPr>
        <w:t>).</w:t>
      </w:r>
    </w:p>
    <w:bookmarkEnd w:id="6"/>
    <w:bookmarkEnd w:id="7"/>
    <w:p w14:paraId="10445A01" w14:textId="65BF2491" w:rsidR="00885580" w:rsidRDefault="007820D0" w:rsidP="00885580">
      <w:pPr>
        <w:pStyle w:val="Heading1"/>
      </w:pPr>
      <w:r>
        <w:t>Conclusion</w:t>
      </w:r>
    </w:p>
    <w:p w14:paraId="26234E31" w14:textId="25883D53" w:rsidR="009A4BAB" w:rsidRDefault="00B3664E" w:rsidP="00D44EC3">
      <w:pPr>
        <w:spacing w:after="240"/>
        <w:rPr>
          <w:rStyle w:val="normaltextrun"/>
          <w:color w:val="000000"/>
          <w:sz w:val="22"/>
          <w:szCs w:val="22"/>
          <w:shd w:val="clear" w:color="auto" w:fill="FFFFFF"/>
        </w:rPr>
      </w:pPr>
      <w:r w:rsidRPr="009514A8">
        <w:rPr>
          <w:rStyle w:val="normaltextrun"/>
          <w:color w:val="000000"/>
          <w:sz w:val="22"/>
          <w:szCs w:val="22"/>
          <w:shd w:val="clear" w:color="auto" w:fill="FFFFFF"/>
        </w:rPr>
        <w:t>In t</w:t>
      </w:r>
      <w:r w:rsidR="008C27BF" w:rsidRPr="009514A8">
        <w:rPr>
          <w:rStyle w:val="normaltextrun"/>
          <w:color w:val="000000"/>
          <w:sz w:val="22"/>
          <w:szCs w:val="22"/>
          <w:shd w:val="clear" w:color="auto" w:fill="FFFFFF"/>
        </w:rPr>
        <w:t xml:space="preserve">his contribution </w:t>
      </w:r>
      <w:r w:rsidRPr="009514A8">
        <w:rPr>
          <w:rStyle w:val="normaltextrun"/>
          <w:color w:val="000000"/>
          <w:sz w:val="22"/>
          <w:szCs w:val="22"/>
          <w:shd w:val="clear" w:color="auto" w:fill="FFFFFF"/>
        </w:rPr>
        <w:t xml:space="preserve">we have analyzed RRM requirements related to </w:t>
      </w:r>
      <w:r w:rsidR="00EC0C39" w:rsidRPr="009514A8">
        <w:rPr>
          <w:rStyle w:val="normaltextrun"/>
          <w:color w:val="000000"/>
          <w:sz w:val="22"/>
          <w:szCs w:val="22"/>
          <w:shd w:val="clear" w:color="auto" w:fill="FFFFFF"/>
        </w:rPr>
        <w:t xml:space="preserve">LTM cell switch in Rel-20 </w:t>
      </w:r>
      <w:r w:rsidR="0069480B">
        <w:rPr>
          <w:rStyle w:val="normaltextrun"/>
          <w:color w:val="000000"/>
          <w:sz w:val="22"/>
          <w:szCs w:val="22"/>
          <w:shd w:val="clear" w:color="auto" w:fill="FFFFFF"/>
        </w:rPr>
        <w:t xml:space="preserve">for </w:t>
      </w:r>
      <w:r w:rsidRPr="009514A8">
        <w:rPr>
          <w:rStyle w:val="normaltextrun"/>
          <w:color w:val="000000"/>
          <w:sz w:val="22"/>
          <w:szCs w:val="22"/>
          <w:shd w:val="clear" w:color="auto" w:fill="FFFFFF"/>
        </w:rPr>
        <w:t>the UE</w:t>
      </w:r>
      <w:r w:rsidR="0069480B">
        <w:rPr>
          <w:rStyle w:val="normaltextrun"/>
          <w:color w:val="000000"/>
          <w:sz w:val="22"/>
          <w:szCs w:val="22"/>
          <w:shd w:val="clear" w:color="auto" w:fill="FFFFFF"/>
        </w:rPr>
        <w:t xml:space="preserve"> </w:t>
      </w:r>
      <w:r w:rsidRPr="009514A8">
        <w:rPr>
          <w:rStyle w:val="normaltextrun"/>
          <w:color w:val="000000"/>
          <w:sz w:val="22"/>
          <w:szCs w:val="22"/>
          <w:shd w:val="clear" w:color="auto" w:fill="FFFFFF"/>
        </w:rPr>
        <w:t xml:space="preserve">configured with </w:t>
      </w:r>
      <w:r w:rsidRPr="009514A8">
        <w:rPr>
          <w:sz w:val="22"/>
          <w:szCs w:val="22"/>
        </w:rPr>
        <w:t>low band CA switching pattern</w:t>
      </w:r>
      <w:r w:rsidR="00670FBB" w:rsidRPr="009514A8">
        <w:rPr>
          <w:rStyle w:val="normaltextrun"/>
          <w:color w:val="000000"/>
          <w:sz w:val="22"/>
          <w:szCs w:val="22"/>
          <w:shd w:val="clear" w:color="auto" w:fill="FFFFFF"/>
        </w:rPr>
        <w:t xml:space="preserve">. Based on this analysis our observations and </w:t>
      </w:r>
      <w:r w:rsidR="005A026F" w:rsidRPr="009514A8">
        <w:rPr>
          <w:rStyle w:val="normaltextrun"/>
          <w:color w:val="000000"/>
          <w:sz w:val="22"/>
          <w:szCs w:val="22"/>
          <w:shd w:val="clear" w:color="auto" w:fill="FFFFFF"/>
        </w:rPr>
        <w:t>proposals</w:t>
      </w:r>
      <w:r w:rsidR="00670FBB" w:rsidRPr="009514A8">
        <w:rPr>
          <w:rStyle w:val="normaltextrun"/>
          <w:color w:val="000000"/>
          <w:sz w:val="22"/>
          <w:szCs w:val="22"/>
          <w:shd w:val="clear" w:color="auto" w:fill="FFFFFF"/>
        </w:rPr>
        <w:t xml:space="preserve"> are as follows</w:t>
      </w:r>
      <w:r w:rsidR="00D03BC8" w:rsidRPr="009514A8">
        <w:rPr>
          <w:rStyle w:val="normaltextrun"/>
          <w:color w:val="000000"/>
          <w:sz w:val="22"/>
          <w:szCs w:val="22"/>
          <w:shd w:val="clear" w:color="auto" w:fill="FFFFFF"/>
        </w:rPr>
        <w:t>:</w:t>
      </w:r>
      <w:r w:rsidR="00D03BC8" w:rsidRPr="009514A8" w:rsidDel="00D03BC8">
        <w:rPr>
          <w:rStyle w:val="normaltextrun"/>
          <w:color w:val="000000"/>
          <w:sz w:val="22"/>
          <w:szCs w:val="22"/>
          <w:shd w:val="clear" w:color="auto" w:fill="FFFFFF"/>
        </w:rPr>
        <w:t xml:space="preserve"> </w:t>
      </w:r>
    </w:p>
    <w:p w14:paraId="71B3D121" w14:textId="05894092" w:rsidR="00B534F5" w:rsidRPr="00395B1B" w:rsidRDefault="00B534F5" w:rsidP="00B534F5">
      <w:pPr>
        <w:pStyle w:val="ListParagraph"/>
        <w:numPr>
          <w:ilvl w:val="0"/>
          <w:numId w:val="228"/>
        </w:numPr>
        <w:spacing w:before="240" w:after="240"/>
        <w:rPr>
          <w:sz w:val="22"/>
          <w:szCs w:val="22"/>
        </w:rPr>
      </w:pPr>
      <w:r w:rsidRPr="00395B1B">
        <w:rPr>
          <w:b/>
          <w:bCs/>
          <w:i/>
          <w:iCs/>
          <w:sz w:val="22"/>
          <w:szCs w:val="22"/>
        </w:rPr>
        <w:t xml:space="preserve">Observation 1: LTM cell switch related core RRM requirements under low </w:t>
      </w:r>
      <w:r w:rsidR="00996FB3">
        <w:rPr>
          <w:b/>
          <w:bCs/>
          <w:i/>
          <w:iCs/>
          <w:sz w:val="22"/>
          <w:szCs w:val="22"/>
        </w:rPr>
        <w:t>b</w:t>
      </w:r>
      <w:r w:rsidRPr="00395B1B">
        <w:rPr>
          <w:b/>
          <w:bCs/>
          <w:i/>
          <w:iCs/>
          <w:sz w:val="22"/>
          <w:szCs w:val="22"/>
        </w:rPr>
        <w:t xml:space="preserve">and CA via switching are not supported in Rel-19. </w:t>
      </w:r>
    </w:p>
    <w:p w14:paraId="2605BD8E" w14:textId="78FF6283" w:rsidR="00B534F5" w:rsidRPr="00B534F5" w:rsidRDefault="00B534F5" w:rsidP="00D44EC3">
      <w:pPr>
        <w:pStyle w:val="ListParagraph"/>
        <w:numPr>
          <w:ilvl w:val="0"/>
          <w:numId w:val="228"/>
        </w:numPr>
        <w:spacing w:after="240"/>
        <w:rPr>
          <w:rStyle w:val="normaltextrun"/>
          <w:sz w:val="22"/>
          <w:szCs w:val="22"/>
        </w:rPr>
      </w:pPr>
      <w:r w:rsidRPr="00395B1B">
        <w:rPr>
          <w:b/>
          <w:bCs/>
          <w:i/>
          <w:iCs/>
          <w:sz w:val="22"/>
          <w:szCs w:val="22"/>
        </w:rPr>
        <w:t xml:space="preserve">Observation 2: For a UE conigured with low band CA via switching, network has to mainly rely on layer-3 handover for mobility resulting in much longer handover delay compared to LTM cell switch delay. </w:t>
      </w:r>
    </w:p>
    <w:p w14:paraId="6168BE62" w14:textId="77777777" w:rsidR="00B534F5" w:rsidRPr="00996FB3" w:rsidRDefault="00B534F5" w:rsidP="00B534F5">
      <w:pPr>
        <w:pStyle w:val="ListParagraph"/>
        <w:numPr>
          <w:ilvl w:val="0"/>
          <w:numId w:val="228"/>
        </w:numPr>
        <w:spacing w:after="240"/>
        <w:rPr>
          <w:sz w:val="22"/>
          <w:szCs w:val="22"/>
        </w:rPr>
      </w:pPr>
      <w:r w:rsidRPr="00070C91">
        <w:rPr>
          <w:b/>
          <w:bCs/>
          <w:i/>
          <w:iCs/>
          <w:sz w:val="22"/>
          <w:szCs w:val="22"/>
        </w:rPr>
        <w:lastRenderedPageBreak/>
        <w:t>Observation 3: A</w:t>
      </w:r>
      <w:r w:rsidRPr="00070C91">
        <w:rPr>
          <w:sz w:val="22"/>
          <w:szCs w:val="22"/>
        </w:rPr>
        <w:t xml:space="preserve"> </w:t>
      </w:r>
      <w:r w:rsidRPr="00070C91">
        <w:rPr>
          <w:b/>
          <w:bCs/>
          <w:i/>
          <w:iCs/>
          <w:sz w:val="22"/>
          <w:szCs w:val="22"/>
        </w:rPr>
        <w:t xml:space="preserve">UE configured with a switching pattern will have to deactivate the switching pattern (if configured) after processing the MAC-CE cell switch command and before initiaing the necessary tasks for completing the LTM cell switch. </w:t>
      </w:r>
    </w:p>
    <w:p w14:paraId="28F2DEE9" w14:textId="35A7DE14" w:rsidR="00996FB3" w:rsidRPr="00996FB3" w:rsidRDefault="00996FB3" w:rsidP="00996FB3">
      <w:pPr>
        <w:pStyle w:val="ListParagraph"/>
        <w:numPr>
          <w:ilvl w:val="0"/>
          <w:numId w:val="228"/>
        </w:numPr>
        <w:spacing w:after="240"/>
        <w:rPr>
          <w:b/>
          <w:bCs/>
          <w:i/>
          <w:iCs/>
          <w:sz w:val="22"/>
          <w:szCs w:val="22"/>
        </w:rPr>
      </w:pPr>
      <w:r w:rsidRPr="00070C91">
        <w:rPr>
          <w:b/>
          <w:bCs/>
          <w:i/>
          <w:iCs/>
          <w:sz w:val="22"/>
          <w:szCs w:val="22"/>
        </w:rPr>
        <w:t xml:space="preserve">Proposal 1: LTM cell switch </w:t>
      </w:r>
      <w:r>
        <w:rPr>
          <w:b/>
          <w:bCs/>
          <w:i/>
          <w:iCs/>
          <w:sz w:val="22"/>
          <w:szCs w:val="22"/>
        </w:rPr>
        <w:t xml:space="preserve">related RRM core requirements are supported </w:t>
      </w:r>
      <w:r w:rsidR="004344DE">
        <w:rPr>
          <w:b/>
          <w:bCs/>
          <w:i/>
          <w:iCs/>
          <w:sz w:val="22"/>
          <w:szCs w:val="22"/>
        </w:rPr>
        <w:t xml:space="preserve">for </w:t>
      </w:r>
      <w:r>
        <w:rPr>
          <w:b/>
          <w:bCs/>
          <w:i/>
          <w:iCs/>
          <w:sz w:val="22"/>
          <w:szCs w:val="22"/>
        </w:rPr>
        <w:t xml:space="preserve">Rel-20 </w:t>
      </w:r>
      <w:r w:rsidRPr="00996FB3">
        <w:rPr>
          <w:b/>
          <w:bCs/>
          <w:i/>
          <w:iCs/>
          <w:sz w:val="22"/>
          <w:szCs w:val="22"/>
        </w:rPr>
        <w:t>low band CA via switching</w:t>
      </w:r>
      <w:r>
        <w:rPr>
          <w:b/>
          <w:bCs/>
          <w:i/>
          <w:iCs/>
          <w:sz w:val="22"/>
          <w:szCs w:val="22"/>
        </w:rPr>
        <w:t>.</w:t>
      </w:r>
    </w:p>
    <w:p w14:paraId="433C11E6" w14:textId="2E46E3CF" w:rsidR="009514A8" w:rsidRPr="00B534F5" w:rsidRDefault="00B534F5" w:rsidP="00D44EC3">
      <w:pPr>
        <w:pStyle w:val="ListParagraph"/>
        <w:numPr>
          <w:ilvl w:val="0"/>
          <w:numId w:val="228"/>
        </w:numPr>
        <w:spacing w:after="240"/>
        <w:rPr>
          <w:rStyle w:val="normaltextrun"/>
          <w:b/>
          <w:bCs/>
          <w:i/>
          <w:iCs/>
          <w:sz w:val="22"/>
          <w:szCs w:val="22"/>
        </w:rPr>
      </w:pPr>
      <w:r w:rsidRPr="00070C91">
        <w:rPr>
          <w:b/>
          <w:bCs/>
          <w:i/>
          <w:iCs/>
          <w:sz w:val="22"/>
          <w:szCs w:val="22"/>
        </w:rPr>
        <w:t xml:space="preserve">Proposal </w:t>
      </w:r>
      <w:r w:rsidR="00996FB3">
        <w:rPr>
          <w:b/>
          <w:bCs/>
          <w:i/>
          <w:iCs/>
          <w:sz w:val="22"/>
          <w:szCs w:val="22"/>
        </w:rPr>
        <w:t>2</w:t>
      </w:r>
      <w:r w:rsidRPr="00070C91">
        <w:rPr>
          <w:b/>
          <w:bCs/>
          <w:i/>
          <w:iCs/>
          <w:sz w:val="22"/>
          <w:szCs w:val="22"/>
        </w:rPr>
        <w:t>: Include the UE processing delay (T</w:t>
      </w:r>
      <w:r w:rsidRPr="00070C91">
        <w:rPr>
          <w:b/>
          <w:bCs/>
          <w:i/>
          <w:iCs/>
          <w:sz w:val="22"/>
          <w:szCs w:val="22"/>
          <w:vertAlign w:val="subscript"/>
        </w:rPr>
        <w:t>LBCA</w:t>
      </w:r>
      <w:r w:rsidRPr="00070C91">
        <w:rPr>
          <w:b/>
          <w:bCs/>
          <w:i/>
          <w:iCs/>
          <w:sz w:val="22"/>
          <w:szCs w:val="22"/>
        </w:rPr>
        <w:t>=1 ms) for deactivating the switchingPattern</w:t>
      </w:r>
      <w:r>
        <w:rPr>
          <w:b/>
          <w:bCs/>
          <w:i/>
          <w:iCs/>
          <w:sz w:val="22"/>
          <w:szCs w:val="22"/>
        </w:rPr>
        <w:t xml:space="preserve"> </w:t>
      </w:r>
      <w:r w:rsidRPr="00070C91">
        <w:rPr>
          <w:b/>
          <w:bCs/>
          <w:i/>
          <w:iCs/>
          <w:sz w:val="22"/>
          <w:szCs w:val="22"/>
        </w:rPr>
        <w:t>within Tcmd of the LTM cell switch delay (D</w:t>
      </w:r>
      <w:r w:rsidRPr="00070C91">
        <w:rPr>
          <w:b/>
          <w:bCs/>
          <w:i/>
          <w:iCs/>
          <w:sz w:val="22"/>
          <w:szCs w:val="22"/>
          <w:vertAlign w:val="subscript"/>
        </w:rPr>
        <w:t>LTM</w:t>
      </w:r>
      <w:r w:rsidRPr="00070C91">
        <w:rPr>
          <w:b/>
          <w:bCs/>
          <w:i/>
          <w:iCs/>
          <w:sz w:val="22"/>
          <w:szCs w:val="22"/>
        </w:rPr>
        <w:t>).</w:t>
      </w:r>
    </w:p>
    <w:p w14:paraId="5EC4741D" w14:textId="5624E396" w:rsidR="005F1BC3" w:rsidRDefault="005F1BC3" w:rsidP="005F1BC3">
      <w:pPr>
        <w:pStyle w:val="Heading1"/>
      </w:pPr>
      <w:r>
        <w:t>References</w:t>
      </w:r>
    </w:p>
    <w:p w14:paraId="0F4633E9" w14:textId="77777777" w:rsidR="00A45C02" w:rsidRPr="00861026" w:rsidRDefault="00A45C02" w:rsidP="00A45C02">
      <w:pPr>
        <w:pStyle w:val="ListParagraph"/>
        <w:numPr>
          <w:ilvl w:val="0"/>
          <w:numId w:val="168"/>
        </w:numPr>
        <w:rPr>
          <w:sz w:val="22"/>
          <w:szCs w:val="22"/>
          <w:lang w:val="en-GB"/>
        </w:rPr>
      </w:pPr>
      <w:r w:rsidRPr="00861026">
        <w:rPr>
          <w:sz w:val="22"/>
          <w:szCs w:val="22"/>
          <w:lang w:val="en-GB"/>
        </w:rPr>
        <w:t xml:space="preserve">R4-2522653, “WF on </w:t>
      </w:r>
      <w:proofErr w:type="spellStart"/>
      <w:r w:rsidRPr="00861026">
        <w:rPr>
          <w:sz w:val="22"/>
          <w:szCs w:val="22"/>
          <w:lang w:val="en-GB"/>
        </w:rPr>
        <w:t>NR_LBCA_Sw_enh_RRM</w:t>
      </w:r>
      <w:proofErr w:type="spellEnd"/>
      <w:r w:rsidRPr="00861026">
        <w:rPr>
          <w:sz w:val="22"/>
          <w:szCs w:val="22"/>
          <w:lang w:val="en-GB"/>
        </w:rPr>
        <w:t>”, Samsung</w:t>
      </w:r>
    </w:p>
    <w:p w14:paraId="6CB65B00" w14:textId="77777777" w:rsidR="00A45C02" w:rsidRPr="00861026" w:rsidRDefault="00A45C02" w:rsidP="00A45C02">
      <w:pPr>
        <w:pStyle w:val="ListParagraph"/>
        <w:numPr>
          <w:ilvl w:val="0"/>
          <w:numId w:val="168"/>
        </w:numPr>
        <w:rPr>
          <w:sz w:val="22"/>
          <w:szCs w:val="22"/>
          <w:lang w:val="en-GB"/>
        </w:rPr>
      </w:pPr>
      <w:r w:rsidRPr="00861026">
        <w:rPr>
          <w:sz w:val="22"/>
          <w:szCs w:val="22"/>
          <w:lang w:val="en-GB"/>
        </w:rPr>
        <w:t>R4-2500527, “Topic summary for [114][213] NR_LBCA_Sw”, Moderator (Apple)</w:t>
      </w:r>
    </w:p>
    <w:p w14:paraId="2ACDF248" w14:textId="77777777" w:rsidR="00A45C02" w:rsidRPr="00861026" w:rsidRDefault="00A45C02" w:rsidP="00A45C02">
      <w:pPr>
        <w:pStyle w:val="ListParagraph"/>
        <w:numPr>
          <w:ilvl w:val="0"/>
          <w:numId w:val="168"/>
        </w:numPr>
        <w:rPr>
          <w:sz w:val="22"/>
          <w:szCs w:val="22"/>
          <w:lang w:val="en-GB"/>
        </w:rPr>
      </w:pPr>
      <w:r w:rsidRPr="00861026">
        <w:rPr>
          <w:sz w:val="22"/>
          <w:szCs w:val="22"/>
          <w:lang w:val="en-GB"/>
        </w:rPr>
        <w:t>R4-2502663, “Ad-hoc minutes for [114][213] NR_LBCA_Sw”, Apple</w:t>
      </w:r>
    </w:p>
    <w:p w14:paraId="596C07A1" w14:textId="04EF33EC" w:rsidR="003D5582" w:rsidRPr="00861026" w:rsidRDefault="003D5582" w:rsidP="003D5582">
      <w:pPr>
        <w:pStyle w:val="ListParagraph"/>
        <w:numPr>
          <w:ilvl w:val="0"/>
          <w:numId w:val="168"/>
        </w:numPr>
        <w:rPr>
          <w:sz w:val="22"/>
          <w:szCs w:val="22"/>
          <w:lang w:val="en-GB"/>
        </w:rPr>
      </w:pPr>
      <w:r w:rsidRPr="00861026">
        <w:rPr>
          <w:sz w:val="22"/>
          <w:szCs w:val="22"/>
          <w:lang w:val="en-GB"/>
        </w:rPr>
        <w:t>R4-2522630, “WF on NR_LBCA_Sw”, Moderator (Apple).</w:t>
      </w:r>
    </w:p>
    <w:p w14:paraId="71E025E3" w14:textId="77777777" w:rsidR="00A45C02" w:rsidRPr="00A45C02" w:rsidRDefault="00A45C02" w:rsidP="00A45C02">
      <w:pPr>
        <w:rPr>
          <w:lang w:val="en-GB"/>
        </w:rPr>
      </w:pPr>
    </w:p>
    <w:sectPr w:rsidR="00A45C02" w:rsidRPr="00A45C02"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022FF" w14:textId="77777777" w:rsidR="004900CF" w:rsidRDefault="004900CF" w:rsidP="00523CAE">
      <w:r>
        <w:separator/>
      </w:r>
    </w:p>
  </w:endnote>
  <w:endnote w:type="continuationSeparator" w:id="0">
    <w:p w14:paraId="425B92DE" w14:textId="77777777" w:rsidR="004900CF" w:rsidRDefault="004900CF" w:rsidP="00523CAE">
      <w:r>
        <w:continuationSeparator/>
      </w:r>
    </w:p>
  </w:endnote>
  <w:endnote w:type="continuationNotice" w:id="1">
    <w:p w14:paraId="78235CA3" w14:textId="77777777" w:rsidR="004900CF" w:rsidRDefault="004900CF"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0F25" w14:textId="77777777" w:rsidR="004900CF" w:rsidRDefault="004900CF" w:rsidP="00523CAE">
      <w:r>
        <w:separator/>
      </w:r>
    </w:p>
  </w:footnote>
  <w:footnote w:type="continuationSeparator" w:id="0">
    <w:p w14:paraId="7E05998B" w14:textId="77777777" w:rsidR="004900CF" w:rsidRDefault="004900CF" w:rsidP="00523CAE">
      <w:r>
        <w:continuationSeparator/>
      </w:r>
    </w:p>
  </w:footnote>
  <w:footnote w:type="continuationNotice" w:id="1">
    <w:p w14:paraId="34E26531" w14:textId="77777777" w:rsidR="004900CF" w:rsidRDefault="004900CF"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4"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58718B"/>
    <w:multiLevelType w:val="hybridMultilevel"/>
    <w:tmpl w:val="6876F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2766A55"/>
    <w:multiLevelType w:val="hybridMultilevel"/>
    <w:tmpl w:val="0EEA9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5"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2"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5"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7"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8"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71"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7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9"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80"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81"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3"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7"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4"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4A544150"/>
    <w:multiLevelType w:val="hybridMultilevel"/>
    <w:tmpl w:val="B35C6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8"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9"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1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7"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22"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7"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5"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6"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7"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9"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44"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53"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9"/>
  </w:num>
  <w:num w:numId="2" w16cid:durableId="1331981388">
    <w:abstractNumId w:val="72"/>
  </w:num>
  <w:num w:numId="3" w16cid:durableId="1093741073">
    <w:abstractNumId w:val="9"/>
  </w:num>
  <w:num w:numId="4" w16cid:durableId="385034422">
    <w:abstractNumId w:val="94"/>
  </w:num>
  <w:num w:numId="5" w16cid:durableId="25981799">
    <w:abstractNumId w:val="2"/>
  </w:num>
  <w:num w:numId="6" w16cid:durableId="1974946327">
    <w:abstractNumId w:val="30"/>
  </w:num>
  <w:num w:numId="7" w16cid:durableId="24016211">
    <w:abstractNumId w:val="54"/>
  </w:num>
  <w:num w:numId="8" w16cid:durableId="395322063">
    <w:abstractNumId w:val="99"/>
  </w:num>
  <w:num w:numId="9" w16cid:durableId="2073119847">
    <w:abstractNumId w:val="38"/>
  </w:num>
  <w:num w:numId="10" w16cid:durableId="1572806877">
    <w:abstractNumId w:val="153"/>
  </w:num>
  <w:num w:numId="11" w16cid:durableId="474295784">
    <w:abstractNumId w:val="6"/>
  </w:num>
  <w:num w:numId="12" w16cid:durableId="1964800721">
    <w:abstractNumId w:val="146"/>
  </w:num>
  <w:num w:numId="13" w16cid:durableId="1577083261">
    <w:abstractNumId w:val="111"/>
  </w:num>
  <w:num w:numId="14" w16cid:durableId="1779062327">
    <w:abstractNumId w:val="69"/>
  </w:num>
  <w:num w:numId="15" w16cid:durableId="1249001352">
    <w:abstractNumId w:val="150"/>
  </w:num>
  <w:num w:numId="16" w16cid:durableId="620258462">
    <w:abstractNumId w:val="76"/>
  </w:num>
  <w:num w:numId="17" w16cid:durableId="913123570">
    <w:abstractNumId w:val="140"/>
  </w:num>
  <w:num w:numId="18" w16cid:durableId="1693721205">
    <w:abstractNumId w:val="45"/>
  </w:num>
  <w:num w:numId="19" w16cid:durableId="1363359267">
    <w:abstractNumId w:val="60"/>
  </w:num>
  <w:num w:numId="20" w16cid:durableId="737946477">
    <w:abstractNumId w:val="134"/>
  </w:num>
  <w:num w:numId="21" w16cid:durableId="1121458463">
    <w:abstractNumId w:val="125"/>
  </w:num>
  <w:num w:numId="22" w16cid:durableId="466317491">
    <w:abstractNumId w:val="67"/>
  </w:num>
  <w:num w:numId="23" w16cid:durableId="1489858591">
    <w:abstractNumId w:val="42"/>
  </w:num>
  <w:num w:numId="24" w16cid:durableId="991980820">
    <w:abstractNumId w:val="126"/>
  </w:num>
  <w:num w:numId="25" w16cid:durableId="769088024">
    <w:abstractNumId w:val="70"/>
  </w:num>
  <w:num w:numId="26" w16cid:durableId="833955007">
    <w:abstractNumId w:val="132"/>
  </w:num>
  <w:num w:numId="27" w16cid:durableId="1481925724">
    <w:abstractNumId w:val="23"/>
  </w:num>
  <w:num w:numId="28" w16cid:durableId="184370019">
    <w:abstractNumId w:val="114"/>
  </w:num>
  <w:num w:numId="29" w16cid:durableId="2139445982">
    <w:abstractNumId w:val="124"/>
  </w:num>
  <w:num w:numId="30" w16cid:durableId="557742798">
    <w:abstractNumId w:val="61"/>
  </w:num>
  <w:num w:numId="31" w16cid:durableId="426461678">
    <w:abstractNumId w:val="94"/>
    <w:lvlOverride w:ilvl="0">
      <w:startOverride w:val="1"/>
    </w:lvlOverride>
  </w:num>
  <w:num w:numId="32" w16cid:durableId="848637650">
    <w:abstractNumId w:val="43"/>
  </w:num>
  <w:num w:numId="33" w16cid:durableId="1150361667">
    <w:abstractNumId w:val="143"/>
  </w:num>
  <w:num w:numId="34" w16cid:durableId="200899030">
    <w:abstractNumId w:val="8"/>
  </w:num>
  <w:num w:numId="35" w16cid:durableId="1027172885">
    <w:abstractNumId w:val="152"/>
  </w:num>
  <w:num w:numId="36" w16cid:durableId="216628378">
    <w:abstractNumId w:val="123"/>
  </w:num>
  <w:num w:numId="37" w16cid:durableId="1456368836">
    <w:abstractNumId w:val="80"/>
  </w:num>
  <w:num w:numId="38" w16cid:durableId="784662569">
    <w:abstractNumId w:val="135"/>
  </w:num>
  <w:num w:numId="39" w16cid:durableId="640430246">
    <w:abstractNumId w:val="136"/>
  </w:num>
  <w:num w:numId="40" w16cid:durableId="1155803574">
    <w:abstractNumId w:val="121"/>
  </w:num>
  <w:num w:numId="41" w16cid:durableId="702363586">
    <w:abstractNumId w:val="34"/>
  </w:num>
  <w:num w:numId="42" w16cid:durableId="344402083">
    <w:abstractNumId w:val="93"/>
  </w:num>
  <w:num w:numId="43" w16cid:durableId="509177780">
    <w:abstractNumId w:val="77"/>
  </w:num>
  <w:num w:numId="44" w16cid:durableId="449975848">
    <w:abstractNumId w:val="94"/>
    <w:lvlOverride w:ilvl="0">
      <w:startOverride w:val="1"/>
    </w:lvlOverride>
  </w:num>
  <w:num w:numId="45" w16cid:durableId="1108551249">
    <w:abstractNumId w:val="94"/>
    <w:lvlOverride w:ilvl="0">
      <w:startOverride w:val="1"/>
    </w:lvlOverride>
  </w:num>
  <w:num w:numId="46" w16cid:durableId="225183817">
    <w:abstractNumId w:val="79"/>
  </w:num>
  <w:num w:numId="47" w16cid:durableId="2001425222">
    <w:abstractNumId w:val="90"/>
  </w:num>
  <w:num w:numId="48" w16cid:durableId="206842605">
    <w:abstractNumId w:val="100"/>
  </w:num>
  <w:num w:numId="49" w16cid:durableId="1229268509">
    <w:abstractNumId w:val="100"/>
  </w:num>
  <w:num w:numId="50" w16cid:durableId="956180504">
    <w:abstractNumId w:val="36"/>
  </w:num>
  <w:num w:numId="51" w16cid:durableId="245579060">
    <w:abstractNumId w:val="62"/>
  </w:num>
  <w:num w:numId="52" w16cid:durableId="1685748316">
    <w:abstractNumId w:val="94"/>
  </w:num>
  <w:num w:numId="53" w16cid:durableId="869755766">
    <w:abstractNumId w:val="133"/>
  </w:num>
  <w:num w:numId="54" w16cid:durableId="115637413">
    <w:abstractNumId w:val="53"/>
  </w:num>
  <w:num w:numId="55" w16cid:durableId="189993728">
    <w:abstractNumId w:val="94"/>
    <w:lvlOverride w:ilvl="0">
      <w:startOverride w:val="1"/>
    </w:lvlOverride>
  </w:num>
  <w:num w:numId="56" w16cid:durableId="815294842">
    <w:abstractNumId w:val="94"/>
    <w:lvlOverride w:ilvl="0">
      <w:startOverride w:val="1"/>
    </w:lvlOverride>
  </w:num>
  <w:num w:numId="57" w16cid:durableId="250436888">
    <w:abstractNumId w:val="94"/>
  </w:num>
  <w:num w:numId="58" w16cid:durableId="1265073387">
    <w:abstractNumId w:val="108"/>
  </w:num>
  <w:num w:numId="59" w16cid:durableId="1731027871">
    <w:abstractNumId w:val="46"/>
  </w:num>
  <w:num w:numId="60" w16cid:durableId="377096137">
    <w:abstractNumId w:val="113"/>
  </w:num>
  <w:num w:numId="61" w16cid:durableId="786051183">
    <w:abstractNumId w:val="89"/>
  </w:num>
  <w:num w:numId="62" w16cid:durableId="743991439">
    <w:abstractNumId w:val="25"/>
  </w:num>
  <w:num w:numId="63" w16cid:durableId="1475484505">
    <w:abstractNumId w:val="105"/>
  </w:num>
  <w:num w:numId="64" w16cid:durableId="1760170973">
    <w:abstractNumId w:val="110"/>
  </w:num>
  <w:num w:numId="65" w16cid:durableId="2138327808">
    <w:abstractNumId w:val="133"/>
  </w:num>
  <w:num w:numId="66" w16cid:durableId="826165319">
    <w:abstractNumId w:val="94"/>
  </w:num>
  <w:num w:numId="67" w16cid:durableId="1255939047">
    <w:abstractNumId w:val="94"/>
  </w:num>
  <w:num w:numId="68" w16cid:durableId="919405895">
    <w:abstractNumId w:val="94"/>
  </w:num>
  <w:num w:numId="69" w16cid:durableId="697199482">
    <w:abstractNumId w:val="94"/>
  </w:num>
  <w:num w:numId="70" w16cid:durableId="1510094866">
    <w:abstractNumId w:val="94"/>
  </w:num>
  <w:num w:numId="71" w16cid:durableId="937910068">
    <w:abstractNumId w:val="94"/>
  </w:num>
  <w:num w:numId="72" w16cid:durableId="1282031639">
    <w:abstractNumId w:val="138"/>
  </w:num>
  <w:num w:numId="73" w16cid:durableId="57435237">
    <w:abstractNumId w:val="94"/>
  </w:num>
  <w:num w:numId="74" w16cid:durableId="545409615">
    <w:abstractNumId w:val="94"/>
  </w:num>
  <w:num w:numId="75" w16cid:durableId="1144077335">
    <w:abstractNumId w:val="144"/>
  </w:num>
  <w:num w:numId="76" w16cid:durableId="1600403574">
    <w:abstractNumId w:val="29"/>
  </w:num>
  <w:num w:numId="77" w16cid:durableId="1353190185">
    <w:abstractNumId w:val="118"/>
  </w:num>
  <w:num w:numId="78" w16cid:durableId="953436640">
    <w:abstractNumId w:val="5"/>
  </w:num>
  <w:num w:numId="79" w16cid:durableId="2040276779">
    <w:abstractNumId w:val="107"/>
  </w:num>
  <w:num w:numId="80" w16cid:durableId="1799493134">
    <w:abstractNumId w:val="112"/>
  </w:num>
  <w:num w:numId="81" w16cid:durableId="1898205217">
    <w:abstractNumId w:val="27"/>
  </w:num>
  <w:num w:numId="82" w16cid:durableId="1286079653">
    <w:abstractNumId w:val="98"/>
  </w:num>
  <w:num w:numId="83" w16cid:durableId="1010720306">
    <w:abstractNumId w:val="120"/>
  </w:num>
  <w:num w:numId="84" w16cid:durableId="718549445">
    <w:abstractNumId w:val="37"/>
  </w:num>
  <w:num w:numId="85" w16cid:durableId="513569374">
    <w:abstractNumId w:val="3"/>
  </w:num>
  <w:num w:numId="86" w16cid:durableId="745230257">
    <w:abstractNumId w:val="96"/>
  </w:num>
  <w:num w:numId="87" w16cid:durableId="923105409">
    <w:abstractNumId w:val="149"/>
  </w:num>
  <w:num w:numId="88" w16cid:durableId="2072338076">
    <w:abstractNumId w:val="65"/>
  </w:num>
  <w:num w:numId="89" w16cid:durableId="2122413663">
    <w:abstractNumId w:val="58"/>
  </w:num>
  <w:num w:numId="90" w16cid:durableId="1147042481">
    <w:abstractNumId w:val="127"/>
  </w:num>
  <w:num w:numId="91" w16cid:durableId="8140500">
    <w:abstractNumId w:val="49"/>
  </w:num>
  <w:num w:numId="92" w16cid:durableId="1328436745">
    <w:abstractNumId w:val="55"/>
  </w:num>
  <w:num w:numId="93" w16cid:durableId="1480538017">
    <w:abstractNumId w:val="13"/>
  </w:num>
  <w:num w:numId="94" w16cid:durableId="446127030">
    <w:abstractNumId w:val="44"/>
  </w:num>
  <w:num w:numId="95" w16cid:durableId="2040929861">
    <w:abstractNumId w:val="153"/>
  </w:num>
  <w:num w:numId="96" w16cid:durableId="1975521480">
    <w:abstractNumId w:val="14"/>
  </w:num>
  <w:num w:numId="97" w16cid:durableId="1847017970">
    <w:abstractNumId w:val="94"/>
    <w:lvlOverride w:ilvl="0">
      <w:startOverride w:val="1"/>
    </w:lvlOverride>
  </w:num>
  <w:num w:numId="98" w16cid:durableId="1423914887">
    <w:abstractNumId w:val="94"/>
    <w:lvlOverride w:ilvl="0">
      <w:startOverride w:val="1"/>
    </w:lvlOverride>
  </w:num>
  <w:num w:numId="99" w16cid:durableId="1533572169">
    <w:abstractNumId w:val="94"/>
  </w:num>
  <w:num w:numId="100" w16cid:durableId="509292908">
    <w:abstractNumId w:val="147"/>
  </w:num>
  <w:num w:numId="101" w16cid:durableId="160294921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73"/>
  </w:num>
  <w:num w:numId="103" w16cid:durableId="1634630551">
    <w:abstractNumId w:val="94"/>
  </w:num>
  <w:num w:numId="104" w16cid:durableId="1202792336">
    <w:abstractNumId w:val="2"/>
  </w:num>
  <w:num w:numId="105" w16cid:durableId="1469006399">
    <w:abstractNumId w:val="2"/>
  </w:num>
  <w:num w:numId="106" w16cid:durableId="880484145">
    <w:abstractNumId w:val="2"/>
  </w:num>
  <w:num w:numId="107" w16cid:durableId="752359294">
    <w:abstractNumId w:val="94"/>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52"/>
  </w:num>
  <w:num w:numId="114" w16cid:durableId="555700889">
    <w:abstractNumId w:val="21"/>
  </w:num>
  <w:num w:numId="115" w16cid:durableId="1580820927">
    <w:abstractNumId w:val="7"/>
  </w:num>
  <w:num w:numId="116" w16cid:durableId="1609779635">
    <w:abstractNumId w:val="2"/>
    <w:lvlOverride w:ilvl="0">
      <w:startOverride w:val="1"/>
    </w:lvlOverride>
  </w:num>
  <w:num w:numId="117" w16cid:durableId="1301888576">
    <w:abstractNumId w:val="94"/>
    <w:lvlOverride w:ilvl="0">
      <w:startOverride w:val="1"/>
    </w:lvlOverride>
  </w:num>
  <w:num w:numId="118" w16cid:durableId="1103723714">
    <w:abstractNumId w:val="117"/>
  </w:num>
  <w:num w:numId="119" w16cid:durableId="673410995">
    <w:abstractNumId w:val="106"/>
  </w:num>
  <w:num w:numId="120" w16cid:durableId="472334665">
    <w:abstractNumId w:val="60"/>
  </w:num>
  <w:num w:numId="121" w16cid:durableId="270475744">
    <w:abstractNumId w:val="100"/>
  </w:num>
  <w:num w:numId="122" w16cid:durableId="781266179">
    <w:abstractNumId w:val="71"/>
  </w:num>
  <w:num w:numId="123" w16cid:durableId="1584874180">
    <w:abstractNumId w:val="36"/>
  </w:num>
  <w:num w:numId="124" w16cid:durableId="477844526">
    <w:abstractNumId w:val="100"/>
  </w:num>
  <w:num w:numId="125" w16cid:durableId="1873758589">
    <w:abstractNumId w:val="36"/>
  </w:num>
  <w:num w:numId="126" w16cid:durableId="1808470364">
    <w:abstractNumId w:val="134"/>
  </w:num>
  <w:num w:numId="127" w16cid:durableId="212620819">
    <w:abstractNumId w:val="60"/>
  </w:num>
  <w:num w:numId="128" w16cid:durableId="1412508136">
    <w:abstractNumId w:val="2"/>
  </w:num>
  <w:num w:numId="129" w16cid:durableId="842622782">
    <w:abstractNumId w:val="130"/>
  </w:num>
  <w:num w:numId="130" w16cid:durableId="880554871">
    <w:abstractNumId w:val="130"/>
  </w:num>
  <w:num w:numId="131" w16cid:durableId="48237255">
    <w:abstractNumId w:val="48"/>
  </w:num>
  <w:num w:numId="132" w16cid:durableId="1519730617">
    <w:abstractNumId w:val="94"/>
    <w:lvlOverride w:ilvl="0">
      <w:startOverride w:val="1"/>
    </w:lvlOverride>
  </w:num>
  <w:num w:numId="133" w16cid:durableId="1389106449">
    <w:abstractNumId w:val="94"/>
  </w:num>
  <w:num w:numId="134" w16cid:durableId="1294673332">
    <w:abstractNumId w:val="51"/>
  </w:num>
  <w:num w:numId="135" w16cid:durableId="1069230657">
    <w:abstractNumId w:val="94"/>
  </w:num>
  <w:num w:numId="136" w16cid:durableId="592083212">
    <w:abstractNumId w:val="94"/>
  </w:num>
  <w:num w:numId="137" w16cid:durableId="575209614">
    <w:abstractNumId w:val="94"/>
  </w:num>
  <w:num w:numId="138" w16cid:durableId="1931742730">
    <w:abstractNumId w:val="94"/>
  </w:num>
  <w:num w:numId="139" w16cid:durableId="956761961">
    <w:abstractNumId w:val="94"/>
  </w:num>
  <w:num w:numId="140" w16cid:durableId="2047828354">
    <w:abstractNumId w:val="2"/>
  </w:num>
  <w:num w:numId="141" w16cid:durableId="1707027675">
    <w:abstractNumId w:val="94"/>
  </w:num>
  <w:num w:numId="142" w16cid:durableId="50540972">
    <w:abstractNumId w:val="94"/>
  </w:num>
  <w:num w:numId="143" w16cid:durableId="189345301">
    <w:abstractNumId w:val="94"/>
  </w:num>
  <w:num w:numId="144" w16cid:durableId="498665931">
    <w:abstractNumId w:val="94"/>
  </w:num>
  <w:num w:numId="145" w16cid:durableId="1826240538">
    <w:abstractNumId w:val="94"/>
  </w:num>
  <w:num w:numId="146" w16cid:durableId="1412967363">
    <w:abstractNumId w:val="94"/>
  </w:num>
  <w:num w:numId="147" w16cid:durableId="1125006864">
    <w:abstractNumId w:val="94"/>
  </w:num>
  <w:num w:numId="148" w16cid:durableId="591626016">
    <w:abstractNumId w:val="60"/>
  </w:num>
  <w:num w:numId="149" w16cid:durableId="1893734038">
    <w:abstractNumId w:val="100"/>
  </w:num>
  <w:num w:numId="150" w16cid:durableId="96799738">
    <w:abstractNumId w:val="109"/>
  </w:num>
  <w:num w:numId="151" w16cid:durableId="671643334">
    <w:abstractNumId w:val="100"/>
  </w:num>
  <w:num w:numId="152" w16cid:durableId="1515143312">
    <w:abstractNumId w:val="58"/>
  </w:num>
  <w:num w:numId="153" w16cid:durableId="992832307">
    <w:abstractNumId w:val="127"/>
  </w:num>
  <w:num w:numId="154" w16cid:durableId="1184704815">
    <w:abstractNumId w:val="49"/>
  </w:num>
  <w:num w:numId="155" w16cid:durableId="386879682">
    <w:abstractNumId w:val="100"/>
  </w:num>
  <w:num w:numId="156" w16cid:durableId="481897607">
    <w:abstractNumId w:val="131"/>
  </w:num>
  <w:num w:numId="157" w16cid:durableId="1792935775">
    <w:abstractNumId w:val="2"/>
  </w:num>
  <w:num w:numId="158" w16cid:durableId="1078986833">
    <w:abstractNumId w:val="2"/>
  </w:num>
  <w:num w:numId="159" w16cid:durableId="78451078">
    <w:abstractNumId w:val="2"/>
  </w:num>
  <w:num w:numId="160" w16cid:durableId="624164943">
    <w:abstractNumId w:val="15"/>
  </w:num>
  <w:num w:numId="161" w16cid:durableId="1608191998">
    <w:abstractNumId w:val="50"/>
  </w:num>
  <w:num w:numId="162" w16cid:durableId="406464586">
    <w:abstractNumId w:val="2"/>
  </w:num>
  <w:num w:numId="163" w16cid:durableId="1408922005">
    <w:abstractNumId w:val="122"/>
  </w:num>
  <w:num w:numId="164" w16cid:durableId="1889875737">
    <w:abstractNumId w:val="139"/>
  </w:num>
  <w:num w:numId="165" w16cid:durableId="1566454677">
    <w:abstractNumId w:val="22"/>
  </w:num>
  <w:num w:numId="166" w16cid:durableId="1872260289">
    <w:abstractNumId w:val="26"/>
  </w:num>
  <w:num w:numId="167" w16cid:durableId="418866923">
    <w:abstractNumId w:val="129"/>
  </w:num>
  <w:num w:numId="168" w16cid:durableId="1625768476">
    <w:abstractNumId w:val="145"/>
  </w:num>
  <w:num w:numId="169" w16cid:durableId="2107923187">
    <w:abstractNumId w:val="119"/>
  </w:num>
  <w:num w:numId="170" w16cid:durableId="19115767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101"/>
  </w:num>
  <w:num w:numId="173" w16cid:durableId="1685937154">
    <w:abstractNumId w:val="153"/>
  </w:num>
  <w:num w:numId="174" w16cid:durableId="724373019">
    <w:abstractNumId w:val="56"/>
  </w:num>
  <w:num w:numId="175" w16cid:durableId="688727323">
    <w:abstractNumId w:val="47"/>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8"/>
  </w:num>
  <w:num w:numId="179" w16cid:durableId="1770733669">
    <w:abstractNumId w:val="64"/>
  </w:num>
  <w:num w:numId="180" w16cid:durableId="358746650">
    <w:abstractNumId w:val="82"/>
  </w:num>
  <w:num w:numId="181" w16cid:durableId="1609385119">
    <w:abstractNumId w:val="83"/>
  </w:num>
  <w:num w:numId="182" w16cid:durableId="115515028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4"/>
  </w:num>
  <w:num w:numId="184" w16cid:durableId="1946380122">
    <w:abstractNumId w:val="153"/>
  </w:num>
  <w:num w:numId="185" w16cid:durableId="1494832013">
    <w:abstractNumId w:val="103"/>
  </w:num>
  <w:num w:numId="186" w16cid:durableId="152263208">
    <w:abstractNumId w:val="141"/>
  </w:num>
  <w:num w:numId="187" w16cid:durableId="1261983946">
    <w:abstractNumId w:val="85"/>
  </w:num>
  <w:num w:numId="188" w16cid:durableId="1401710888">
    <w:abstractNumId w:val="151"/>
  </w:num>
  <w:num w:numId="189" w16cid:durableId="1077677221">
    <w:abstractNumId w:val="81"/>
  </w:num>
  <w:num w:numId="190" w16cid:durableId="2123306405">
    <w:abstractNumId w:val="17"/>
  </w:num>
  <w:num w:numId="191" w16cid:durableId="398747674">
    <w:abstractNumId w:val="18"/>
  </w:num>
  <w:num w:numId="192" w16cid:durableId="28460814">
    <w:abstractNumId w:val="104"/>
  </w:num>
  <w:num w:numId="193" w16cid:durableId="1452479440">
    <w:abstractNumId w:val="35"/>
  </w:num>
  <w:num w:numId="194" w16cid:durableId="1589339886">
    <w:abstractNumId w:val="57"/>
  </w:num>
  <w:num w:numId="195" w16cid:durableId="1847936356">
    <w:abstractNumId w:val="102"/>
  </w:num>
  <w:num w:numId="196" w16cid:durableId="1222642539">
    <w:abstractNumId w:val="63"/>
  </w:num>
  <w:num w:numId="197" w16cid:durableId="814492240">
    <w:abstractNumId w:val="1"/>
  </w:num>
  <w:num w:numId="198" w16cid:durableId="125927134">
    <w:abstractNumId w:val="97"/>
  </w:num>
  <w:num w:numId="199" w16cid:durableId="1991783809">
    <w:abstractNumId w:val="24"/>
  </w:num>
  <w:num w:numId="200" w16cid:durableId="1329015359">
    <w:abstractNumId w:val="74"/>
  </w:num>
  <w:num w:numId="201" w16cid:durableId="1309284776">
    <w:abstractNumId w:val="115"/>
  </w:num>
  <w:num w:numId="202" w16cid:durableId="381178554">
    <w:abstractNumId w:val="91"/>
  </w:num>
  <w:num w:numId="203" w16cid:durableId="2124416032">
    <w:abstractNumId w:val="148"/>
  </w:num>
  <w:num w:numId="204" w16cid:durableId="1835757643">
    <w:abstractNumId w:val="92"/>
  </w:num>
  <w:num w:numId="205" w16cid:durableId="2119058932">
    <w:abstractNumId w:val="137"/>
  </w:num>
  <w:num w:numId="206" w16cid:durableId="1278218492">
    <w:abstractNumId w:val="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2"/>
  </w:num>
  <w:num w:numId="209" w16cid:durableId="1469780652">
    <w:abstractNumId w:val="116"/>
  </w:num>
  <w:num w:numId="210" w16cid:durableId="1561477130">
    <w:abstractNumId w:val="86"/>
  </w:num>
  <w:num w:numId="211" w16cid:durableId="1353259427">
    <w:abstractNumId w:val="116"/>
  </w:num>
  <w:num w:numId="212" w16cid:durableId="2100634795">
    <w:abstractNumId w:val="86"/>
  </w:num>
  <w:num w:numId="213" w16cid:durableId="979960780">
    <w:abstractNumId w:val="12"/>
  </w:num>
  <w:num w:numId="214" w16cid:durableId="1847287370">
    <w:abstractNumId w:val="10"/>
  </w:num>
  <w:num w:numId="215" w16cid:durableId="1472552161">
    <w:abstractNumId w:val="142"/>
  </w:num>
  <w:num w:numId="216" w16cid:durableId="148136369">
    <w:abstractNumId w:val="40"/>
  </w:num>
  <w:num w:numId="217" w16cid:durableId="966084994">
    <w:abstractNumId w:val="68"/>
  </w:num>
  <w:num w:numId="218" w16cid:durableId="574555899">
    <w:abstractNumId w:val="20"/>
  </w:num>
  <w:num w:numId="219" w16cid:durableId="564873267">
    <w:abstractNumId w:val="31"/>
  </w:num>
  <w:num w:numId="220" w16cid:durableId="2064670884">
    <w:abstractNumId w:val="87"/>
  </w:num>
  <w:num w:numId="221" w16cid:durableId="820266658">
    <w:abstractNumId w:val="16"/>
  </w:num>
  <w:num w:numId="222" w16cid:durableId="529757916">
    <w:abstractNumId w:val="75"/>
  </w:num>
  <w:num w:numId="223" w16cid:durableId="1370957501">
    <w:abstractNumId w:val="128"/>
  </w:num>
  <w:num w:numId="224" w16cid:durableId="136194044">
    <w:abstractNumId w:val="39"/>
  </w:num>
  <w:num w:numId="225" w16cid:durableId="1731418845">
    <w:abstractNumId w:val="41"/>
  </w:num>
  <w:num w:numId="226" w16cid:durableId="1865709739">
    <w:abstractNumId w:val="19"/>
  </w:num>
  <w:num w:numId="227" w16cid:durableId="1229609669">
    <w:abstractNumId w:val="28"/>
  </w:num>
  <w:num w:numId="228" w16cid:durableId="1617062199">
    <w:abstractNumId w:val="66"/>
  </w:num>
  <w:num w:numId="229" w16cid:durableId="391735151">
    <w:abstractNumId w:val="95"/>
  </w:num>
  <w:num w:numId="230" w16cid:durableId="985353074">
    <w:abstractNumId w:val="33"/>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A5F"/>
    <w:rsid w:val="000B5AC9"/>
    <w:rsid w:val="000B5ED2"/>
    <w:rsid w:val="000B5ED3"/>
    <w:rsid w:val="000B5F0A"/>
    <w:rsid w:val="000B5F9E"/>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7C8"/>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E8"/>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2F"/>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A8C"/>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A25"/>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84E"/>
    <w:rsid w:val="00E60B14"/>
    <w:rsid w:val="00E60C3A"/>
    <w:rsid w:val="00E60D63"/>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6E"/>
    <w:rsid w:val="00FC429F"/>
    <w:rsid w:val="00FC43CE"/>
    <w:rsid w:val="00FC43E7"/>
    <w:rsid w:val="00FC4521"/>
    <w:rsid w:val="00FC47A6"/>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10"/>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129"/>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1965</TotalTime>
  <Pages>3</Pages>
  <Words>934</Words>
  <Characters>5064</Characters>
  <Application>Microsoft Office Word</Application>
  <DocSecurity>0</DocSecurity>
  <Lines>90</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222</cp:revision>
  <cp:lastPrinted>2016-06-28T01:35:00Z</cp:lastPrinted>
  <dcterms:created xsi:type="dcterms:W3CDTF">2025-05-09T19:19:00Z</dcterms:created>
  <dcterms:modified xsi:type="dcterms:W3CDTF">2026-01-30T19:42:00Z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